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78" w:rsidRPr="00F03FD9" w:rsidRDefault="00C05678" w:rsidP="00C05678">
      <w:pPr>
        <w:widowControl/>
        <w:suppressAutoHyphens w:val="0"/>
        <w:spacing w:before="100" w:beforeAutospacing="1" w:after="100" w:afterAutospacing="1" w:line="301" w:lineRule="atLeast"/>
        <w:outlineLvl w:val="0"/>
        <w:rPr>
          <w:rFonts w:ascii="Garamond" w:eastAsia="Times New Roman" w:hAnsi="Garamond" w:cs="Arial"/>
          <w:b/>
          <w:color w:val="000000"/>
          <w:kern w:val="36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kern w:val="36"/>
          <w:sz w:val="22"/>
          <w:szCs w:val="22"/>
        </w:rPr>
        <w:t xml:space="preserve">ÖNKORMÁNYZATI TULAJDONÚ INGATLAN ÉRTÉKESÍTÉSÉRE VONATKOZÓ </w:t>
      </w:r>
    </w:p>
    <w:p w:rsidR="00C05678" w:rsidRPr="00F03FD9" w:rsidRDefault="00C05678" w:rsidP="00C05678">
      <w:pPr>
        <w:widowControl/>
        <w:suppressAutoHyphens w:val="0"/>
        <w:spacing w:before="100" w:beforeAutospacing="1" w:after="100" w:afterAutospacing="1" w:line="301" w:lineRule="atLeast"/>
        <w:ind w:left="2124" w:firstLine="708"/>
        <w:outlineLvl w:val="0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kern w:val="36"/>
          <w:sz w:val="22"/>
          <w:szCs w:val="22"/>
        </w:rPr>
        <w:t xml:space="preserve">  ÁRVERÉSI HIRDETMÉNY</w:t>
      </w:r>
    </w:p>
    <w:p w:rsidR="00C05678" w:rsidRPr="00F03FD9" w:rsidRDefault="00C05678" w:rsidP="00C05678">
      <w:pPr>
        <w:widowControl/>
        <w:suppressAutoHyphens w:val="0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Solymár Nagyközség Önkormányz</w:t>
      </w:r>
      <w:r w:rsidR="00F92E3A">
        <w:rPr>
          <w:rFonts w:ascii="Garamond" w:eastAsia="Times New Roman" w:hAnsi="Garamond" w:cs="Arial"/>
          <w:color w:val="000000"/>
          <w:sz w:val="22"/>
          <w:szCs w:val="22"/>
        </w:rPr>
        <w:t>ata tulajdonát képező ingatlan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licitálásos eljárás útján történő értékesítésére.</w:t>
      </w:r>
    </w:p>
    <w:p w:rsidR="00C05678" w:rsidRPr="00F03FD9" w:rsidRDefault="00C05678" w:rsidP="00C05678">
      <w:pPr>
        <w:widowControl/>
        <w:suppressAutoHyphens w:val="0"/>
        <w:ind w:firstLine="709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C05678" w:rsidRPr="00F03FD9" w:rsidRDefault="00C05678" w:rsidP="00C05678">
      <w:pPr>
        <w:widowControl/>
        <w:suppressAutoHyphens w:val="0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Solymár Nagyközség Önkormányzatának a 8/2017. (IV.27.) önkormányzati rendelettel módosított az önkormányzati tulajdonról, az önkormányzat vagyonáról és az önkormányzati vagyon feletti tulajdonosi jogok gyakorlásáról szóló 22/2011. (VII.20.) önkormányzati rendelet (a továbbiakban „Rendelet”) és az annak 1. számmal jelölt mellékletét képező Solymár Nagyközségi Önkormányzat árveréses ingatlan értékesítési Szabályzata, valamint Solymár Nagyközség Önkormányzata Képviselő-testületének 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24/2020. (II. 26.) 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sz. határozata értelmében nyilvános árverési eljárást hirdet az önkormányzat tula</w:t>
      </w:r>
      <w:r w:rsidR="00F92E3A">
        <w:rPr>
          <w:rFonts w:ascii="Garamond" w:eastAsia="Times New Roman" w:hAnsi="Garamond" w:cs="Arial"/>
          <w:color w:val="000000"/>
          <w:sz w:val="22"/>
          <w:szCs w:val="22"/>
        </w:rPr>
        <w:t>jdonát képező alábbi ingatlan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 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értékesítésére.</w:t>
      </w:r>
    </w:p>
    <w:p w:rsidR="00C05678" w:rsidRPr="00F03FD9" w:rsidRDefault="00C05678" w:rsidP="00C05678">
      <w:pPr>
        <w:widowControl/>
        <w:suppressAutoHyphens w:val="0"/>
        <w:ind w:firstLine="709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br/>
        <w:t xml:space="preserve">1.) 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ab/>
      </w: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 xml:space="preserve">Kiíró megnevezése: 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Solymár Nagyközség Önkormányzata</w:t>
      </w:r>
    </w:p>
    <w:p w:rsidR="00C05678" w:rsidRPr="00F03FD9" w:rsidRDefault="00C05678" w:rsidP="00C05678">
      <w:pPr>
        <w:widowControl/>
        <w:suppressAutoHyphens w:val="0"/>
        <w:ind w:firstLine="709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Kiíró címe: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2083 Solymár, József Attila utca 1. szám.</w:t>
      </w:r>
    </w:p>
    <w:p w:rsidR="00C05678" w:rsidRPr="00F03FD9" w:rsidRDefault="00C05678" w:rsidP="00C05678">
      <w:pPr>
        <w:widowControl/>
        <w:suppressAutoHyphens w:val="0"/>
        <w:ind w:firstLine="709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Kiíró telefonszáma: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+36 26 560 60</w:t>
      </w:r>
      <w:r>
        <w:rPr>
          <w:rFonts w:ascii="Garamond" w:eastAsia="Times New Roman" w:hAnsi="Garamond" w:cs="Arial"/>
          <w:color w:val="000000"/>
          <w:sz w:val="22"/>
          <w:szCs w:val="22"/>
        </w:rPr>
        <w:t>6</w:t>
      </w:r>
    </w:p>
    <w:p w:rsidR="00C05678" w:rsidRPr="00F03FD9" w:rsidRDefault="00C05678" w:rsidP="00C05678">
      <w:pPr>
        <w:widowControl/>
        <w:suppressAutoHyphens w:val="0"/>
        <w:ind w:firstLine="709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C05678" w:rsidRPr="00F03FD9" w:rsidRDefault="00C05678" w:rsidP="00C05678">
      <w:pPr>
        <w:widowControl/>
        <w:suppressAutoHyphens w:val="0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2.) 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ab/>
      </w: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Az eljárás célja és fajtája:</w:t>
      </w:r>
    </w:p>
    <w:p w:rsidR="00C05678" w:rsidRPr="00F03FD9" w:rsidRDefault="00C05678" w:rsidP="00C05678">
      <w:pPr>
        <w:widowControl/>
        <w:suppressAutoHyphens w:val="0"/>
        <w:ind w:firstLine="708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2.1. Versenyeztetés fajtája: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licitálásos eljárás</w:t>
      </w:r>
    </w:p>
    <w:p w:rsidR="00C05678" w:rsidRPr="00F03FD9" w:rsidRDefault="00C05678" w:rsidP="00C05678">
      <w:pPr>
        <w:widowControl/>
        <w:suppressAutoHyphens w:val="0"/>
        <w:ind w:firstLine="708"/>
        <w:jc w:val="both"/>
        <w:outlineLvl w:val="0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2.2. A pályázat célja:</w:t>
      </w:r>
    </w:p>
    <w:p w:rsidR="00C05678" w:rsidRPr="00F03FD9" w:rsidRDefault="00C05678" w:rsidP="00C05678">
      <w:pPr>
        <w:widowControl/>
        <w:suppressAutoHyphens w:val="0"/>
        <w:ind w:left="709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A 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Solymár, belterület, 406</w:t>
      </w:r>
      <w:r>
        <w:rPr>
          <w:rFonts w:ascii="Garamond" w:eastAsia="Times New Roman" w:hAnsi="Garamond" w:cs="Arial"/>
          <w:color w:val="000000"/>
          <w:sz w:val="22"/>
          <w:szCs w:val="22"/>
        </w:rPr>
        <w:t>9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helyrajzi számú kivett beépítetlen terület megnevezésű, Solymár Nagyközség Önkormányzatának kizárólagos (1/1) arányú tulajdon</w:t>
      </w:r>
      <w:r w:rsidR="00F92E3A">
        <w:rPr>
          <w:rFonts w:ascii="Garamond" w:eastAsia="Times New Roman" w:hAnsi="Garamond" w:cs="Arial"/>
          <w:color w:val="000000"/>
          <w:sz w:val="22"/>
          <w:szCs w:val="22"/>
        </w:rPr>
        <w:t>át képező tehermentes ingatlan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legmagasabb áron történő </w:t>
      </w:r>
      <w:r w:rsidRPr="00C05678">
        <w:rPr>
          <w:rFonts w:ascii="Garamond" w:eastAsia="Times New Roman" w:hAnsi="Garamond" w:cs="Arial"/>
          <w:bCs/>
          <w:color w:val="000000"/>
          <w:sz w:val="22"/>
          <w:szCs w:val="22"/>
        </w:rPr>
        <w:t>értékesítése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.</w:t>
      </w:r>
    </w:p>
    <w:p w:rsidR="00C05678" w:rsidRPr="00F03FD9" w:rsidRDefault="00C05678" w:rsidP="00C05678">
      <w:pPr>
        <w:widowControl/>
        <w:suppressAutoHyphens w:val="0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C05678" w:rsidRPr="00F03FD9" w:rsidRDefault="00C05678" w:rsidP="00C05678">
      <w:pPr>
        <w:widowControl/>
        <w:suppressAutoHyphens w:val="0"/>
        <w:jc w:val="both"/>
        <w:outlineLvl w:val="0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3.) 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ab/>
      </w: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Pályázat tárgya és ennek műszaki, jogi feltételei:</w:t>
      </w:r>
    </w:p>
    <w:p w:rsidR="00C05678" w:rsidRPr="00F03FD9" w:rsidRDefault="00C05678" w:rsidP="00C05678">
      <w:pPr>
        <w:widowControl/>
        <w:suppressAutoHyphens w:val="0"/>
        <w:ind w:firstLine="708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3.1. Tárgy: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Solymár, belterület </w:t>
      </w:r>
    </w:p>
    <w:p w:rsidR="00C05678" w:rsidRPr="00F03FD9" w:rsidRDefault="00C05678" w:rsidP="00C05678">
      <w:pPr>
        <w:widowControl/>
        <w:suppressAutoHyphens w:val="0"/>
        <w:ind w:left="709"/>
        <w:jc w:val="both"/>
        <w:outlineLvl w:val="0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(i) 406</w:t>
      </w:r>
      <w:r>
        <w:rPr>
          <w:rFonts w:ascii="Garamond" w:eastAsia="Times New Roman" w:hAnsi="Garamond" w:cs="Arial"/>
          <w:color w:val="000000"/>
          <w:sz w:val="22"/>
          <w:szCs w:val="22"/>
        </w:rPr>
        <w:t>9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helyrajzi szám alatti, </w:t>
      </w:r>
      <w:r>
        <w:rPr>
          <w:rFonts w:ascii="Garamond" w:eastAsia="Times New Roman" w:hAnsi="Garamond" w:cs="Arial"/>
          <w:color w:val="000000"/>
          <w:sz w:val="22"/>
          <w:szCs w:val="22"/>
        </w:rPr>
        <w:t>7099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m</w:t>
      </w:r>
      <w:r w:rsidRPr="00F03FD9">
        <w:rPr>
          <w:rFonts w:ascii="Garamond" w:eastAsia="Times New Roman" w:hAnsi="Garamond" w:cs="Arial"/>
          <w:color w:val="000000"/>
          <w:sz w:val="22"/>
          <w:szCs w:val="22"/>
          <w:vertAlign w:val="superscript"/>
        </w:rPr>
        <w:t>2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térmértékű, kivett beépítetlen terület megnevezésű ingatlan</w:t>
      </w:r>
      <w:r w:rsidR="00F92E3A">
        <w:rPr>
          <w:rFonts w:ascii="Garamond" w:eastAsia="Times New Roman" w:hAnsi="Garamond" w:cs="Arial"/>
          <w:color w:val="000000"/>
          <w:sz w:val="22"/>
          <w:szCs w:val="22"/>
        </w:rPr>
        <w:t>.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3.2. Műszaki feltétel:</w:t>
      </w:r>
    </w:p>
    <w:p w:rsidR="00C05678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Az ingatlan beépítési feltétele</w:t>
      </w:r>
      <w:r>
        <w:rPr>
          <w:rFonts w:ascii="Garamond" w:eastAsia="Times New Roman" w:hAnsi="Garamond" w:cs="Arial"/>
          <w:color w:val="000000"/>
          <w:sz w:val="22"/>
          <w:szCs w:val="22"/>
        </w:rPr>
        <w:t>inek legjellemzőbb előírásai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, övezeti besorolás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: </w:t>
      </w:r>
    </w:p>
    <w:p w:rsidR="00C05678" w:rsidRPr="00F265DF" w:rsidRDefault="00C05678" w:rsidP="00C05678">
      <w:pPr>
        <w:widowControl/>
        <w:suppressAutoHyphens w:val="0"/>
        <w:spacing w:after="215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GKSZ 1 övezet: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 a környezetre jelentős hatást nem gyakorló </w:t>
      </w:r>
      <w:r w:rsidRPr="00F265DF">
        <w:rPr>
          <w:rFonts w:ascii="Garamond" w:eastAsia="Times New Roman" w:hAnsi="Garamond" w:cs="Arial"/>
          <w:color w:val="000000"/>
          <w:sz w:val="22"/>
          <w:szCs w:val="22"/>
        </w:rPr>
        <w:t xml:space="preserve">gazdasági </w:t>
      </w:r>
      <w:r>
        <w:rPr>
          <w:rFonts w:ascii="Garamond" w:eastAsia="Times New Roman" w:hAnsi="Garamond" w:cs="Arial"/>
          <w:color w:val="000000"/>
          <w:sz w:val="22"/>
          <w:szCs w:val="22"/>
        </w:rPr>
        <w:t>tevékenység</w:t>
      </w:r>
      <w:r w:rsidR="0053733F">
        <w:rPr>
          <w:rFonts w:ascii="Garamond" w:eastAsia="Times New Roman" w:hAnsi="Garamond" w:cs="Arial"/>
          <w:color w:val="000000"/>
          <w:sz w:val="22"/>
          <w:szCs w:val="22"/>
        </w:rPr>
        <w:t>i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 célú</w:t>
      </w:r>
      <w:r w:rsidRPr="00F265DF">
        <w:rPr>
          <w:rFonts w:ascii="Garamond" w:eastAsia="Times New Roman" w:hAnsi="Garamond" w:cs="Arial"/>
          <w:color w:val="000000"/>
          <w:sz w:val="22"/>
          <w:szCs w:val="22"/>
        </w:rPr>
        <w:t xml:space="preserve"> ép</w:t>
      </w:r>
      <w:r>
        <w:rPr>
          <w:rFonts w:ascii="Garamond" w:eastAsia="Times New Roman" w:hAnsi="Garamond" w:cs="Arial"/>
          <w:color w:val="000000"/>
          <w:sz w:val="22"/>
          <w:szCs w:val="22"/>
        </w:rPr>
        <w:t>ület</w:t>
      </w:r>
      <w:r w:rsidRPr="00F265DF">
        <w:rPr>
          <w:rFonts w:ascii="Garamond" w:eastAsia="Times New Roman" w:hAnsi="Garamond" w:cs="Arial"/>
          <w:color w:val="000000"/>
          <w:sz w:val="22"/>
          <w:szCs w:val="22"/>
        </w:rPr>
        <w:t xml:space="preserve"> </w:t>
      </w:r>
      <w:r>
        <w:rPr>
          <w:rFonts w:ascii="Garamond" w:eastAsia="Times New Roman" w:hAnsi="Garamond" w:cs="Arial"/>
          <w:color w:val="000000"/>
          <w:sz w:val="22"/>
          <w:szCs w:val="22"/>
        </w:rPr>
        <w:t>el</w:t>
      </w: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helyez</w:t>
      </w:r>
      <w:r>
        <w:rPr>
          <w:rFonts w:ascii="Garamond" w:eastAsia="Times New Roman" w:hAnsi="Garamond" w:cs="Arial"/>
          <w:color w:val="000000"/>
          <w:sz w:val="22"/>
          <w:szCs w:val="22"/>
        </w:rPr>
        <w:t>ésére szolgál</w:t>
      </w: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.</w:t>
      </w:r>
    </w:p>
    <w:p w:rsidR="00C05678" w:rsidRPr="00F265DF" w:rsidRDefault="00C05678" w:rsidP="00C05678">
      <w:pPr>
        <w:widowControl/>
        <w:suppressAutoHyphens w:val="0"/>
        <w:spacing w:after="215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>b</w:t>
      </w: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eépítés módja: szabadon álló,</w:t>
      </w:r>
    </w:p>
    <w:p w:rsidR="00C05678" w:rsidRPr="00F265DF" w:rsidRDefault="00C05678" w:rsidP="00C05678">
      <w:pPr>
        <w:widowControl/>
        <w:suppressAutoHyphens w:val="0"/>
        <w:spacing w:after="215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beépítettség megengedett legnagyobb mértéke: 40 %,</w:t>
      </w:r>
    </w:p>
    <w:p w:rsidR="00C05678" w:rsidRPr="00780A40" w:rsidRDefault="00C05678" w:rsidP="00C05678">
      <w:pPr>
        <w:widowControl/>
        <w:suppressAutoHyphens w:val="0"/>
        <w:spacing w:after="215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terepszint alatti beépítettség megengedett legnagyobb mértéke: 40 %,</w:t>
      </w:r>
    </w:p>
    <w:p w:rsidR="00C05678" w:rsidRPr="00780A40" w:rsidRDefault="00C05678" w:rsidP="00C05678">
      <w:pPr>
        <w:widowControl/>
        <w:suppressAutoHyphens w:val="0"/>
        <w:spacing w:after="215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épületmagasság megengedett legnagyobb mértéke: 8,0 m,</w:t>
      </w:r>
    </w:p>
    <w:p w:rsidR="00C05678" w:rsidRPr="00780A40" w:rsidRDefault="00C05678" w:rsidP="00C05678">
      <w:pPr>
        <w:widowControl/>
        <w:suppressAutoHyphens w:val="0"/>
        <w:spacing w:after="215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265DF">
        <w:rPr>
          <w:rFonts w:ascii="Garamond" w:eastAsia="Times New Roman" w:hAnsi="Garamond" w:cs="Arial"/>
          <w:color w:val="000000"/>
          <w:sz w:val="22"/>
          <w:szCs w:val="22"/>
        </w:rPr>
        <w:t>zöldfelület legkisebb mértéke: 25 %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3</w:t>
      </w:r>
      <w:r w:rsidR="00203276">
        <w:rPr>
          <w:rFonts w:ascii="Garamond" w:eastAsia="Times New Roman" w:hAnsi="Garamond" w:cs="Arial"/>
          <w:b/>
          <w:color w:val="000000"/>
          <w:sz w:val="22"/>
          <w:szCs w:val="22"/>
        </w:rPr>
        <w:t>.3. Jogi feltétel: Az ingatlan per-, teher- és igénymentes</w:t>
      </w: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.</w:t>
      </w:r>
    </w:p>
    <w:p w:rsidR="00C05678" w:rsidRPr="00F03FD9" w:rsidRDefault="00C05678" w:rsidP="00262174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Az eljárás nyertese az az ajánlattevő lesz, aki a pályázati feltételeknek megfelel és a legmagasabb összegű vételár megfizetésére tesz ajánlatot.</w:t>
      </w:r>
      <w:bookmarkStart w:id="0" w:name="_GoBack"/>
      <w:bookmarkEnd w:id="0"/>
    </w:p>
    <w:p w:rsidR="00C05678" w:rsidRPr="00F03FD9" w:rsidRDefault="00C05678" w:rsidP="00262174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A pályázat nyertesével (továbbiakban: Árverési vevő) az adásvételi szerződést a versenyeztetést követően haladéktalanul meg kell kötni. </w:t>
      </w:r>
    </w:p>
    <w:p w:rsidR="00C05678" w:rsidRPr="003C2590" w:rsidRDefault="00C05678" w:rsidP="00262174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FF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A kiíró csak a pályázat nyertesével – vagy annak visszalépése esetén - a meghatározott feltételeket teljesítő, második legmagasabb összegű ajánlattevővel köt szerződést</w:t>
      </w:r>
      <w:r>
        <w:rPr>
          <w:rFonts w:ascii="Garamond" w:eastAsia="Times New Roman" w:hAnsi="Garamond" w:cs="Arial"/>
          <w:color w:val="000000"/>
          <w:sz w:val="22"/>
          <w:szCs w:val="22"/>
        </w:rPr>
        <w:t>.</w:t>
      </w:r>
    </w:p>
    <w:p w:rsidR="00C05678" w:rsidRDefault="00C05678" w:rsidP="00262174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Ajánlati kötöttség: Az árverésen az elhangzott feltételek szerint</w:t>
      </w:r>
      <w:r>
        <w:rPr>
          <w:rFonts w:ascii="Garamond" w:eastAsia="Times New Roman" w:hAnsi="Garamond" w:cs="Arial"/>
          <w:color w:val="000000"/>
          <w:sz w:val="22"/>
          <w:szCs w:val="22"/>
        </w:rPr>
        <w:t>,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a nyertes árverési vevőnek a leütéssel vételi kötelezettsége, míg az eladó Önkormányzatnak eladási kötelezettsége keletkezik. </w:t>
      </w:r>
    </w:p>
    <w:p w:rsidR="0053733F" w:rsidRPr="0053733F" w:rsidRDefault="0053733F" w:rsidP="0053733F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53733F">
        <w:rPr>
          <w:rFonts w:ascii="Garamond" w:eastAsia="Times New Roman" w:hAnsi="Garamond" w:cs="Arial"/>
          <w:b/>
          <w:color w:val="000000"/>
          <w:sz w:val="22"/>
          <w:szCs w:val="22"/>
        </w:rPr>
        <w:lastRenderedPageBreak/>
        <w:t>3.4. Pályázat további feltételei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Pályázati biztosíték: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A licit eljáráson való részvétel feltétele a pályázati biztosíték megfizetése (továbbiakban: Bánatpénz), amely az adott ingatlan – képviselő-testület által megállapított - bruttó értékének 10 %-át jelenti. A Bánatpénz összegét Solymár Nagyközség Önkormányzata számlatulajdonos, OTP Bank által vezetett 11742245-15390125 számú bankszámlájára kell befizetni a licitálás napját megelőző napig.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A bánatpénz akkor tekintendő határidőben teljesítettnek, ha annak összege az árverés napján reggel nyolc (8) órakor lekért bankszámla kivonat tanúsága szerint a fenti bankszámlán jóváírásra került. 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További feltétel: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Solymár Nagyközség Önkormányzat</w:t>
      </w:r>
      <w:r>
        <w:rPr>
          <w:rFonts w:ascii="Garamond" w:eastAsia="Times New Roman" w:hAnsi="Garamond" w:cs="Arial"/>
          <w:color w:val="000000"/>
          <w:sz w:val="22"/>
          <w:szCs w:val="22"/>
        </w:rPr>
        <w:t>a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8/2017. (IV.27.) önkormányzati rendelettel módosított az önkormányzati tulajdonról, az önkormányzat vagyonáról és az önkormányzati vagyon feletti tulajdonosi jogok gyakorlásáról szóló 22/2011. (VII.20.) önkormányzati rendelet árveréses ingatlan értékesítési </w:t>
      </w:r>
      <w:r>
        <w:rPr>
          <w:rFonts w:ascii="Garamond" w:eastAsia="Times New Roman" w:hAnsi="Garamond" w:cs="Arial"/>
          <w:color w:val="000000"/>
          <w:sz w:val="22"/>
          <w:szCs w:val="22"/>
        </w:rPr>
        <w:t>s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zabályzat</w:t>
      </w:r>
      <w:r>
        <w:rPr>
          <w:rFonts w:ascii="Garamond" w:eastAsia="Times New Roman" w:hAnsi="Garamond" w:cs="Arial"/>
          <w:color w:val="000000"/>
          <w:sz w:val="22"/>
          <w:szCs w:val="22"/>
        </w:rPr>
        <w:t>ának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a.) jelű mellékletét képező árverési adatlap és mellékleteinek az árverés időpontját megelőző 5. (ötödik) munkanap 12 óráig történő eljuttatása a Solymári Polgármesteri Hivatal Műszaki Irodáj</w:t>
      </w:r>
      <w:r>
        <w:rPr>
          <w:rFonts w:ascii="Garamond" w:eastAsia="Times New Roman" w:hAnsi="Garamond" w:cs="Arial"/>
          <w:color w:val="000000"/>
          <w:sz w:val="22"/>
          <w:szCs w:val="22"/>
        </w:rPr>
        <w:t>a részére.</w:t>
      </w:r>
    </w:p>
    <w:p w:rsidR="00C05678" w:rsidRPr="00F03FD9" w:rsidRDefault="00F92E3A" w:rsidP="00C05678">
      <w:pPr>
        <w:widowControl/>
        <w:suppressAutoHyphens w:val="0"/>
        <w:spacing w:after="215" w:line="236" w:lineRule="atLeast"/>
        <w:ind w:left="709" w:hanging="709"/>
        <w:rPr>
          <w:rFonts w:ascii="Garamond" w:eastAsia="Times New Roman" w:hAnsi="Garamond" w:cs="Arial"/>
          <w:b/>
          <w:color w:val="000000"/>
          <w:sz w:val="22"/>
          <w:szCs w:val="22"/>
        </w:rPr>
      </w:pPr>
      <w:r>
        <w:rPr>
          <w:rFonts w:ascii="Garamond" w:eastAsia="Times New Roman" w:hAnsi="Garamond" w:cs="Arial"/>
          <w:b/>
          <w:color w:val="000000"/>
          <w:sz w:val="22"/>
          <w:szCs w:val="22"/>
        </w:rPr>
        <w:t xml:space="preserve">4.) </w:t>
      </w:r>
      <w:r>
        <w:rPr>
          <w:rFonts w:ascii="Garamond" w:eastAsia="Times New Roman" w:hAnsi="Garamond" w:cs="Arial"/>
          <w:b/>
          <w:color w:val="000000"/>
          <w:sz w:val="22"/>
          <w:szCs w:val="22"/>
        </w:rPr>
        <w:tab/>
        <w:t>Az ingatlan</w:t>
      </w:r>
      <w:r w:rsidR="00C05678"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 xml:space="preserve"> vételára:</w:t>
      </w:r>
    </w:p>
    <w:p w:rsidR="00C05678" w:rsidRPr="000A3992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sz w:val="22"/>
          <w:szCs w:val="22"/>
        </w:rPr>
      </w:pPr>
      <w:r w:rsidRPr="000A3992">
        <w:rPr>
          <w:rFonts w:ascii="Garamond" w:eastAsia="Times New Roman" w:hAnsi="Garamond" w:cs="Arial"/>
          <w:sz w:val="22"/>
          <w:szCs w:val="22"/>
        </w:rPr>
        <w:t xml:space="preserve">4.1. A pályázati eljárás tárgyát képező ingatlan – a képviselő-testület </w:t>
      </w:r>
      <w:r>
        <w:rPr>
          <w:rFonts w:ascii="Garamond" w:eastAsia="Times New Roman" w:hAnsi="Garamond" w:cs="Arial"/>
          <w:sz w:val="22"/>
          <w:szCs w:val="22"/>
        </w:rPr>
        <w:t>24</w:t>
      </w:r>
      <w:r w:rsidRPr="000A3992">
        <w:rPr>
          <w:rFonts w:ascii="Garamond" w:eastAsia="Times New Roman" w:hAnsi="Garamond" w:cs="Arial"/>
          <w:sz w:val="22"/>
          <w:szCs w:val="22"/>
        </w:rPr>
        <w:t>/20</w:t>
      </w:r>
      <w:r>
        <w:rPr>
          <w:rFonts w:ascii="Garamond" w:eastAsia="Times New Roman" w:hAnsi="Garamond" w:cs="Arial"/>
          <w:sz w:val="22"/>
          <w:szCs w:val="22"/>
        </w:rPr>
        <w:t>20</w:t>
      </w:r>
      <w:r w:rsidRPr="000A3992">
        <w:rPr>
          <w:rFonts w:ascii="Garamond" w:eastAsia="Times New Roman" w:hAnsi="Garamond" w:cs="Arial"/>
          <w:sz w:val="22"/>
          <w:szCs w:val="22"/>
        </w:rPr>
        <w:t>. (II.</w:t>
      </w:r>
      <w:r>
        <w:rPr>
          <w:rFonts w:ascii="Garamond" w:eastAsia="Times New Roman" w:hAnsi="Garamond" w:cs="Arial"/>
          <w:sz w:val="22"/>
          <w:szCs w:val="22"/>
        </w:rPr>
        <w:t xml:space="preserve"> </w:t>
      </w:r>
      <w:r w:rsidRPr="000A3992">
        <w:rPr>
          <w:rFonts w:ascii="Garamond" w:eastAsia="Times New Roman" w:hAnsi="Garamond" w:cs="Arial"/>
          <w:sz w:val="22"/>
          <w:szCs w:val="22"/>
        </w:rPr>
        <w:t>2</w:t>
      </w:r>
      <w:r>
        <w:rPr>
          <w:rFonts w:ascii="Garamond" w:eastAsia="Times New Roman" w:hAnsi="Garamond" w:cs="Arial"/>
          <w:sz w:val="22"/>
          <w:szCs w:val="22"/>
        </w:rPr>
        <w:t>6</w:t>
      </w:r>
      <w:r w:rsidRPr="000A3992">
        <w:rPr>
          <w:rFonts w:ascii="Garamond" w:eastAsia="Times New Roman" w:hAnsi="Garamond" w:cs="Arial"/>
          <w:sz w:val="22"/>
          <w:szCs w:val="22"/>
        </w:rPr>
        <w:t xml:space="preserve">.) sz. határozatában – megállapított legalacsonyabb </w:t>
      </w:r>
      <w:r w:rsidR="0053733F">
        <w:rPr>
          <w:rFonts w:ascii="Garamond" w:eastAsia="Times New Roman" w:hAnsi="Garamond" w:cs="Arial"/>
          <w:sz w:val="22"/>
          <w:szCs w:val="22"/>
        </w:rPr>
        <w:t>vétel</w:t>
      </w:r>
      <w:r w:rsidRPr="000A3992">
        <w:rPr>
          <w:rFonts w:ascii="Garamond" w:eastAsia="Times New Roman" w:hAnsi="Garamond" w:cs="Arial"/>
          <w:sz w:val="22"/>
          <w:szCs w:val="22"/>
        </w:rPr>
        <w:t xml:space="preserve">ára </w:t>
      </w:r>
      <w:r w:rsidR="00291CCB">
        <w:rPr>
          <w:rFonts w:ascii="Garamond" w:eastAsia="Times New Roman" w:hAnsi="Garamond" w:cs="Arial"/>
          <w:sz w:val="22"/>
          <w:szCs w:val="22"/>
        </w:rPr>
        <w:t>113.584.000,-</w:t>
      </w:r>
      <w:r w:rsidRPr="00291CCB">
        <w:rPr>
          <w:rFonts w:ascii="Garamond" w:eastAsia="Times New Roman" w:hAnsi="Garamond" w:cs="Arial"/>
          <w:sz w:val="22"/>
          <w:szCs w:val="22"/>
        </w:rPr>
        <w:t xml:space="preserve"> Ft</w:t>
      </w:r>
      <w:r w:rsidRPr="000A3992">
        <w:rPr>
          <w:rFonts w:ascii="Garamond" w:eastAsia="Times New Roman" w:hAnsi="Garamond" w:cs="Arial"/>
          <w:sz w:val="22"/>
          <w:szCs w:val="22"/>
        </w:rPr>
        <w:t xml:space="preserve"> </w:t>
      </w:r>
      <w:r w:rsidR="00C21CB4">
        <w:rPr>
          <w:rFonts w:ascii="Garamond" w:eastAsia="Times New Roman" w:hAnsi="Garamond" w:cs="Arial"/>
          <w:sz w:val="22"/>
          <w:szCs w:val="22"/>
        </w:rPr>
        <w:t>+ ÁFA</w:t>
      </w:r>
      <w:r w:rsidR="0095724C">
        <w:rPr>
          <w:rFonts w:ascii="Garamond" w:eastAsia="Times New Roman" w:hAnsi="Garamond" w:cs="Arial"/>
          <w:sz w:val="22"/>
          <w:szCs w:val="22"/>
        </w:rPr>
        <w:t>, azaz mindösszesen 144.251.680.-Ft (száznegyvennégymillió- kettőszázötvenegyezer-hatszáznyolcvan forint).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jc w:val="both"/>
        <w:rPr>
          <w:rFonts w:ascii="Garamond" w:eastAsia="Times New Roman" w:hAnsi="Garamond" w:cs="Arial"/>
          <w:color w:val="000000"/>
          <w:sz w:val="22"/>
          <w:szCs w:val="22"/>
        </w:rPr>
      </w:pPr>
      <w:r w:rsidRPr="00C57CD5">
        <w:rPr>
          <w:rFonts w:ascii="Garamond" w:hAnsi="Garamond" w:cs="Arial"/>
          <w:color w:val="323130"/>
          <w:sz w:val="22"/>
          <w:szCs w:val="22"/>
          <w:shd w:val="clear" w:color="auto" w:fill="FFFFFF"/>
        </w:rPr>
        <w:t>4.2 Az árverési hirdetmény melléklete tartalmazza a vonatkozó adásvételi szerződés tervezeteket egy</w:t>
      </w:r>
      <w:r>
        <w:rPr>
          <w:rFonts w:ascii="Garamond" w:hAnsi="Garamond" w:cs="Arial"/>
          <w:color w:val="323130"/>
          <w:sz w:val="22"/>
          <w:szCs w:val="22"/>
          <w:shd w:val="clear" w:color="auto" w:fill="FFFFFF"/>
        </w:rPr>
        <w:t xml:space="preserve"> </w:t>
      </w:r>
      <w:r w:rsidRPr="00C57CD5">
        <w:rPr>
          <w:rFonts w:ascii="Garamond" w:hAnsi="Garamond" w:cs="Arial"/>
          <w:color w:val="323130"/>
          <w:sz w:val="22"/>
          <w:szCs w:val="22"/>
          <w:shd w:val="clear" w:color="auto" w:fill="FFFFFF"/>
        </w:rPr>
        <w:t>összegben történő vételár megfizetése, illetve - hitelfelvétellel kapcsolódó - halasztott fizetés esetén. Hitelfelvétel esetén a csatolt adásvételi szerződés tervezet az Önkormányzat és az árverési vevő közötti adásvételi szerződés megkötése során kiegészül a hitelt folyósító banknak az adásvételi szerződésekre vonatkozó kötelező tartalmi elemeivel.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4.3. Az ingatlan szerzéssel kapcsolatos vagyonszerzési illeték a vevőt terheli.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 xml:space="preserve">5.) Az árverés helye és időpontja: 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5.1. Az árverés helye:</w:t>
      </w:r>
    </w:p>
    <w:p w:rsidR="00C05678" w:rsidRPr="00F03FD9" w:rsidRDefault="00C05678" w:rsidP="00C05678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Solymári Polgármesteri Hivatal ,,nagyterem” (2083 Solymár, József Attila utca 1. szám) </w:t>
      </w:r>
    </w:p>
    <w:p w:rsidR="00C05678" w:rsidRPr="00E675CA" w:rsidRDefault="00C05678" w:rsidP="00C05678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 xml:space="preserve">5.2. Az árverés időpontja: </w:t>
      </w:r>
      <w:r w:rsidRPr="00D02224">
        <w:rPr>
          <w:rFonts w:ascii="Garamond" w:eastAsia="Times New Roman" w:hAnsi="Garamond" w:cs="Arial"/>
          <w:b/>
          <w:sz w:val="22"/>
          <w:szCs w:val="22"/>
        </w:rPr>
        <w:t xml:space="preserve">2020. </w:t>
      </w:r>
      <w:r w:rsidR="00291CCB" w:rsidRPr="00D02224">
        <w:rPr>
          <w:rFonts w:ascii="Garamond" w:eastAsia="Times New Roman" w:hAnsi="Garamond" w:cs="Arial"/>
          <w:b/>
          <w:sz w:val="22"/>
          <w:szCs w:val="22"/>
        </w:rPr>
        <w:t xml:space="preserve">április </w:t>
      </w:r>
      <w:r w:rsidR="00D02224" w:rsidRPr="00D02224">
        <w:rPr>
          <w:rFonts w:ascii="Garamond" w:eastAsia="Times New Roman" w:hAnsi="Garamond" w:cs="Arial"/>
          <w:b/>
          <w:sz w:val="22"/>
          <w:szCs w:val="22"/>
        </w:rPr>
        <w:t>9</w:t>
      </w:r>
      <w:r w:rsidRPr="00D02224">
        <w:rPr>
          <w:rFonts w:ascii="Garamond" w:eastAsia="Times New Roman" w:hAnsi="Garamond" w:cs="Arial"/>
          <w:b/>
          <w:sz w:val="22"/>
          <w:szCs w:val="22"/>
        </w:rPr>
        <w:t>. napja reggel (</w:t>
      </w:r>
      <w:r w:rsidR="00D02224" w:rsidRPr="00D02224">
        <w:rPr>
          <w:rFonts w:ascii="Garamond" w:eastAsia="Times New Roman" w:hAnsi="Garamond" w:cs="Arial"/>
          <w:b/>
          <w:sz w:val="22"/>
          <w:szCs w:val="22"/>
        </w:rPr>
        <w:t>10</w:t>
      </w:r>
      <w:r w:rsidRPr="00D02224">
        <w:rPr>
          <w:rFonts w:ascii="Garamond" w:eastAsia="Times New Roman" w:hAnsi="Garamond" w:cs="Arial"/>
          <w:b/>
          <w:sz w:val="22"/>
          <w:szCs w:val="22"/>
        </w:rPr>
        <w:t>) óra</w:t>
      </w:r>
    </w:p>
    <w:p w:rsidR="00C05678" w:rsidRDefault="00C05678" w:rsidP="00C05678">
      <w:pPr>
        <w:widowControl/>
        <w:suppressAutoHyphens w:val="0"/>
        <w:spacing w:after="215" w:line="236" w:lineRule="atLeast"/>
        <w:rPr>
          <w:rFonts w:ascii="Garamond" w:eastAsia="Times New Roman" w:hAnsi="Garamond" w:cs="Arial"/>
          <w:b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>6.)</w:t>
      </w:r>
      <w:r w:rsidRPr="00F03FD9">
        <w:rPr>
          <w:rFonts w:ascii="Garamond" w:eastAsia="Times New Roman" w:hAnsi="Garamond" w:cs="Arial"/>
          <w:b/>
          <w:color w:val="000000"/>
          <w:sz w:val="22"/>
          <w:szCs w:val="22"/>
        </w:rPr>
        <w:tab/>
        <w:t>További információ az alábbi címen és időben kérhető:</w:t>
      </w:r>
    </w:p>
    <w:p w:rsidR="0053733F" w:rsidRDefault="00C21CB4" w:rsidP="0053733F">
      <w:pPr>
        <w:widowControl/>
        <w:suppressAutoHyphens w:val="0"/>
        <w:spacing w:after="215"/>
        <w:ind w:firstLine="708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Solymári Polgármesteri Hivatal </w:t>
      </w:r>
    </w:p>
    <w:p w:rsidR="00C21CB4" w:rsidRPr="00F03FD9" w:rsidRDefault="00C21CB4" w:rsidP="0053733F">
      <w:pPr>
        <w:widowControl/>
        <w:suppressAutoHyphens w:val="0"/>
        <w:spacing w:after="215"/>
        <w:ind w:firstLine="708"/>
        <w:rPr>
          <w:rFonts w:ascii="Garamond" w:eastAsia="Times New Roman" w:hAnsi="Garamond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>Toldi Tímea</w:t>
      </w:r>
    </w:p>
    <w:p w:rsidR="0053733F" w:rsidRDefault="00C21CB4" w:rsidP="00C21CB4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color w:val="000000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Telefon: +36 26</w:t>
      </w:r>
      <w:r>
        <w:rPr>
          <w:rFonts w:ascii="Garamond" w:eastAsia="Times New Roman" w:hAnsi="Garamond" w:cs="Arial"/>
          <w:color w:val="000000"/>
          <w:sz w:val="22"/>
          <w:szCs w:val="22"/>
        </w:rPr>
        <w:t>/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560</w:t>
      </w:r>
      <w:r>
        <w:rPr>
          <w:rFonts w:ascii="Garamond" w:eastAsia="Times New Roman" w:hAnsi="Garamond" w:cs="Arial"/>
          <w:color w:val="000000"/>
          <w:sz w:val="22"/>
          <w:szCs w:val="22"/>
        </w:rPr>
        <w:t>-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600/</w:t>
      </w:r>
      <w:r>
        <w:rPr>
          <w:rFonts w:ascii="Garamond" w:eastAsia="Times New Roman" w:hAnsi="Garamond" w:cs="Arial"/>
          <w:color w:val="000000"/>
          <w:sz w:val="22"/>
          <w:szCs w:val="22"/>
        </w:rPr>
        <w:t>2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23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 mellék, </w:t>
      </w:r>
    </w:p>
    <w:p w:rsidR="00C21CB4" w:rsidRPr="00F03FD9" w:rsidRDefault="0053733F" w:rsidP="00C21CB4">
      <w:pPr>
        <w:widowControl/>
        <w:suppressAutoHyphens w:val="0"/>
        <w:spacing w:after="215" w:line="236" w:lineRule="atLeast"/>
        <w:ind w:left="709"/>
        <w:rPr>
          <w:rFonts w:ascii="Garamond" w:eastAsia="Times New Roman" w:hAnsi="Garamond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>email: vagyon@solymar.hu</w:t>
      </w:r>
    </w:p>
    <w:p w:rsidR="00C05678" w:rsidRPr="00860978" w:rsidRDefault="00C21CB4" w:rsidP="00C21CB4">
      <w:pPr>
        <w:widowControl/>
        <w:suppressAutoHyphens w:val="0"/>
        <w:spacing w:after="215"/>
        <w:ind w:left="709"/>
        <w:rPr>
          <w:rFonts w:ascii="Garamond" w:eastAsia="Times New Roman" w:hAnsi="Garamond" w:cs="Arial"/>
          <w:sz w:val="22"/>
          <w:szCs w:val="22"/>
        </w:rPr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>Ügyfélfogadás: hétfő: 13-18; szerda: 10-12 és 13-16 óráig.</w:t>
      </w:r>
    </w:p>
    <w:p w:rsidR="006E2208" w:rsidRDefault="00C05678" w:rsidP="00C05678">
      <w:pPr>
        <w:widowControl/>
        <w:suppressAutoHyphens w:val="0"/>
        <w:spacing w:after="215" w:line="236" w:lineRule="atLeast"/>
        <w:jc w:val="both"/>
      </w:pP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Pályázatkiíró felhívja a pályázók figyelmét arra, hogy a jelen eljárás lebonyolítása és a további idevágó feltételekre vonatkozóan tanulmányozni szíveskedjenek a </w:t>
      </w:r>
      <w:r w:rsidRPr="00291CCB">
        <w:rPr>
          <w:rFonts w:ascii="Garamond" w:eastAsia="Times New Roman" w:hAnsi="Garamond" w:cs="Arial"/>
          <w:sz w:val="22"/>
          <w:szCs w:val="22"/>
        </w:rPr>
        <w:t>3.4. pontban hivatkozott</w:t>
      </w:r>
      <w:r w:rsidRPr="00F03FD9">
        <w:rPr>
          <w:rFonts w:ascii="Garamond" w:eastAsia="Times New Roman" w:hAnsi="Garamond" w:cs="Arial"/>
          <w:color w:val="000000"/>
          <w:sz w:val="22"/>
          <w:szCs w:val="22"/>
        </w:rPr>
        <w:t xml:space="preserve"> árveréses ingatlan értékesítési szabályzatot, mert az abban foglaltak megfelelő teljesítése az eredményes árverezés feltétele.</w:t>
      </w:r>
    </w:p>
    <w:sectPr w:rsidR="006E2208" w:rsidSect="008D64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05678"/>
    <w:rsid w:val="00034324"/>
    <w:rsid w:val="00203276"/>
    <w:rsid w:val="00262174"/>
    <w:rsid w:val="00291CCB"/>
    <w:rsid w:val="004C792B"/>
    <w:rsid w:val="0053733F"/>
    <w:rsid w:val="006E2208"/>
    <w:rsid w:val="0095724C"/>
    <w:rsid w:val="00C05678"/>
    <w:rsid w:val="00C21CB4"/>
    <w:rsid w:val="00D02224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6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21C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1CB4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685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Vagyon</dc:creator>
  <cp:keywords/>
  <dc:description/>
  <cp:lastModifiedBy>foldeaki.eva</cp:lastModifiedBy>
  <cp:revision>7</cp:revision>
  <cp:lastPrinted>2020-03-02T12:23:00Z</cp:lastPrinted>
  <dcterms:created xsi:type="dcterms:W3CDTF">2020-02-27T12:38:00Z</dcterms:created>
  <dcterms:modified xsi:type="dcterms:W3CDTF">2020-03-02T16:38:00Z</dcterms:modified>
</cp:coreProperties>
</file>