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0F8ED3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61EB9E4C" wp14:editId="2724B043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E7330F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289E8A69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2B1D495E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530AE51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179C40E8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6072B1D6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36CFE600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8D695" w14:textId="77777777" w:rsidR="00FD7016" w:rsidRDefault="007357F7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1D9460D6" w14:textId="456A72DA" w:rsidR="007357F7" w:rsidRPr="004215ED" w:rsidRDefault="007357F7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53A25E" w14:textId="4721186B" w:rsidR="00FD7016" w:rsidRPr="004215ED" w:rsidRDefault="007357F7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2021. december 10.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EBEF" w14:textId="3023CCC0" w:rsidR="00FD7016" w:rsidRPr="004215ED" w:rsidRDefault="007357F7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101/2021.</w:t>
            </w:r>
          </w:p>
        </w:tc>
      </w:tr>
    </w:tbl>
    <w:p w14:paraId="60B74DFD" w14:textId="1606E042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Ügyintéző neve:</w:t>
      </w:r>
      <w:r w:rsidR="007357F7">
        <w:rPr>
          <w:bCs/>
          <w:i/>
          <w:iCs/>
          <w:sz w:val="20"/>
        </w:rPr>
        <w:t xml:space="preserve"> Dr. Beregszászi Márk</w:t>
      </w:r>
    </w:p>
    <w:p w14:paraId="7337C164" w14:textId="6AB46342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7357F7">
        <w:rPr>
          <w:bCs/>
          <w:i/>
          <w:iCs/>
          <w:sz w:val="20"/>
        </w:rPr>
        <w:t>Varga Zsolt</w:t>
      </w:r>
    </w:p>
    <w:p w14:paraId="3D031B67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3B3F24D8" w14:textId="0812CE94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7357F7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007557ED" w14:textId="6AAA3EDC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7357F7">
        <w:rPr>
          <w:bCs/>
          <w:i/>
          <w:iCs/>
          <w:sz w:val="20"/>
        </w:rPr>
        <w:t>Dr. Beregszászi Márk</w:t>
      </w:r>
      <w:r w:rsidR="007357F7">
        <w:rPr>
          <w:bCs/>
          <w:i/>
          <w:iCs/>
          <w:sz w:val="20"/>
        </w:rPr>
        <w:t xml:space="preserve"> jegyző</w:t>
      </w:r>
    </w:p>
    <w:p w14:paraId="30BAD054" w14:textId="77777777" w:rsidR="00013025" w:rsidRPr="00BF697A" w:rsidRDefault="00013025" w:rsidP="00013025">
      <w:pPr>
        <w:rPr>
          <w:b/>
          <w:szCs w:val="24"/>
        </w:rPr>
      </w:pPr>
    </w:p>
    <w:p w14:paraId="09D6E6F5" w14:textId="29E64A75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7357F7">
        <w:rPr>
          <w:bCs/>
          <w:i/>
          <w:iCs/>
          <w:sz w:val="20"/>
        </w:rPr>
        <w:t>A művelődési ház alapdokumentumainak elfogadása</w:t>
      </w:r>
    </w:p>
    <w:p w14:paraId="14670C14" w14:textId="77777777" w:rsidR="00BF697A" w:rsidRDefault="00BF697A" w:rsidP="00BF697A">
      <w:pPr>
        <w:jc w:val="both"/>
        <w:rPr>
          <w:bCs/>
        </w:rPr>
      </w:pPr>
    </w:p>
    <w:p w14:paraId="50470689" w14:textId="13DA9DD4" w:rsidR="00BF697A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44E59400" w14:textId="366B9081" w:rsidR="00B0271F" w:rsidRDefault="00B0271F" w:rsidP="00BF697A">
      <w:pPr>
        <w:jc w:val="center"/>
        <w:rPr>
          <w:b/>
          <w:bCs/>
          <w:iCs/>
          <w:sz w:val="28"/>
          <w:szCs w:val="28"/>
        </w:rPr>
      </w:pPr>
    </w:p>
    <w:p w14:paraId="63702FD3" w14:textId="4FF90C56" w:rsidR="00B0271F" w:rsidRPr="00B0271F" w:rsidRDefault="00C626CC" w:rsidP="00B0271F">
      <w:pPr>
        <w:pStyle w:val="Listaszerbekezds"/>
        <w:numPr>
          <w:ilvl w:val="0"/>
          <w:numId w:val="9"/>
        </w:numPr>
        <w:ind w:hanging="720"/>
        <w:jc w:val="both"/>
        <w:rPr>
          <w:b/>
          <w:bCs/>
          <w:szCs w:val="24"/>
        </w:rPr>
      </w:pPr>
      <w:r>
        <w:rPr>
          <w:b/>
          <w:bCs/>
          <w:szCs w:val="24"/>
        </w:rPr>
        <w:t>J</w:t>
      </w:r>
      <w:r w:rsidR="00B0271F" w:rsidRPr="00B0271F">
        <w:rPr>
          <w:b/>
          <w:bCs/>
          <w:szCs w:val="24"/>
        </w:rPr>
        <w:t>ogviszonyváltás</w:t>
      </w:r>
    </w:p>
    <w:p w14:paraId="185A3DCE" w14:textId="77777777" w:rsidR="00B0271F" w:rsidRPr="00B0271F" w:rsidRDefault="00B0271F" w:rsidP="00B0271F">
      <w:pPr>
        <w:pStyle w:val="Listaszerbekezds"/>
        <w:jc w:val="both"/>
        <w:rPr>
          <w:szCs w:val="24"/>
        </w:rPr>
      </w:pPr>
    </w:p>
    <w:p w14:paraId="19448FEA" w14:textId="3771A883" w:rsidR="00B0271F" w:rsidRDefault="00B0271F" w:rsidP="00B0271F">
      <w:pPr>
        <w:jc w:val="both"/>
        <w:rPr>
          <w:szCs w:val="24"/>
        </w:rPr>
      </w:pPr>
      <w:r>
        <w:rPr>
          <w:szCs w:val="24"/>
        </w:rPr>
        <w:t>A</w:t>
      </w:r>
      <w:r w:rsidRPr="00B0271F">
        <w:rPr>
          <w:szCs w:val="24"/>
        </w:rPr>
        <w:t xml:space="preserve"> kulturális intézményekben foglalkoztatottak közalkalmazotti jogviszonyának átalakulásáról, valamint egyes kulturális tárgyú törvények módosításáról</w:t>
      </w:r>
      <w:r>
        <w:rPr>
          <w:szCs w:val="24"/>
        </w:rPr>
        <w:t xml:space="preserve"> szóló </w:t>
      </w:r>
      <w:r w:rsidRPr="00B0271F">
        <w:rPr>
          <w:szCs w:val="24"/>
        </w:rPr>
        <w:t>2020. évi XXXII. törvén</w:t>
      </w:r>
      <w:r>
        <w:rPr>
          <w:szCs w:val="24"/>
        </w:rPr>
        <w:t xml:space="preserve">nyel többek között az Apáczai Csere János Művelődési Ház és Könyvtár dolgozóinak jogviszonyváltása is megtörtént, az érintett közalkalmazottak munkajogi jogviszonyba kerültek, szükséges a művelődési ház alapdokumentumaiban </w:t>
      </w:r>
      <w:r w:rsidR="00C626CC">
        <w:rPr>
          <w:szCs w:val="24"/>
        </w:rPr>
        <w:t>a módosítások átvezetése.</w:t>
      </w:r>
    </w:p>
    <w:p w14:paraId="1E5A8BF9" w14:textId="12B895E5" w:rsidR="00C626CC" w:rsidRDefault="00C626CC" w:rsidP="00B0271F">
      <w:pPr>
        <w:jc w:val="both"/>
        <w:rPr>
          <w:szCs w:val="24"/>
        </w:rPr>
      </w:pPr>
    </w:p>
    <w:p w14:paraId="4E5B1BC7" w14:textId="1C02FB70" w:rsidR="00C626CC" w:rsidRPr="00C626CC" w:rsidRDefault="00C626CC" w:rsidP="00C626CC">
      <w:pPr>
        <w:pStyle w:val="Listaszerbekezds"/>
        <w:numPr>
          <w:ilvl w:val="0"/>
          <w:numId w:val="9"/>
        </w:numPr>
        <w:ind w:hanging="720"/>
        <w:jc w:val="both"/>
        <w:rPr>
          <w:b/>
          <w:bCs/>
          <w:szCs w:val="24"/>
        </w:rPr>
      </w:pPr>
      <w:r w:rsidRPr="00C626CC">
        <w:rPr>
          <w:b/>
          <w:bCs/>
          <w:szCs w:val="24"/>
        </w:rPr>
        <w:t xml:space="preserve">Szakmai adatok </w:t>
      </w:r>
    </w:p>
    <w:p w14:paraId="4DC4877C" w14:textId="1E33745E" w:rsidR="00B0271F" w:rsidRDefault="00B0271F" w:rsidP="00B0271F">
      <w:pPr>
        <w:jc w:val="both"/>
        <w:rPr>
          <w:szCs w:val="24"/>
        </w:rPr>
      </w:pPr>
    </w:p>
    <w:p w14:paraId="3703F2DF" w14:textId="6FDD0AAC" w:rsidR="00C626CC" w:rsidRDefault="00C626CC" w:rsidP="00B0271F">
      <w:pPr>
        <w:jc w:val="both"/>
        <w:rPr>
          <w:szCs w:val="24"/>
        </w:rPr>
      </w:pPr>
      <w:r>
        <w:rPr>
          <w:szCs w:val="24"/>
        </w:rPr>
        <w:t>A fentieken túlmenően az intézmény vezetője elvégezte a művelődési ház szervezeti és működési szabályzatának aktualizálását is.</w:t>
      </w:r>
    </w:p>
    <w:p w14:paraId="0DEF519D" w14:textId="311AA185" w:rsidR="00C626CC" w:rsidRDefault="00C626CC" w:rsidP="00B0271F">
      <w:pPr>
        <w:jc w:val="both"/>
        <w:rPr>
          <w:szCs w:val="24"/>
        </w:rPr>
      </w:pPr>
    </w:p>
    <w:p w14:paraId="65B3289B" w14:textId="7EBB1680" w:rsidR="00C626CC" w:rsidRPr="00B0271F" w:rsidRDefault="00C626CC" w:rsidP="00B0271F">
      <w:pPr>
        <w:jc w:val="both"/>
        <w:rPr>
          <w:szCs w:val="24"/>
        </w:rPr>
      </w:pPr>
      <w:r>
        <w:rPr>
          <w:szCs w:val="24"/>
        </w:rPr>
        <w:t xml:space="preserve">Kérem a T. Képviselő-testületet, hogy a művelődési ház </w:t>
      </w:r>
      <w:r w:rsidR="00B90962">
        <w:rPr>
          <w:szCs w:val="24"/>
        </w:rPr>
        <w:t>alapdokumentumait elfogadni szíveskedjenek (SZMSZ, alapító okirat).</w:t>
      </w:r>
    </w:p>
    <w:p w14:paraId="4FD29EDB" w14:textId="77777777" w:rsidR="00BF697A" w:rsidRPr="0023301C" w:rsidRDefault="00BF697A" w:rsidP="00BF697A">
      <w:pPr>
        <w:jc w:val="center"/>
        <w:rPr>
          <w:b/>
          <w:bCs/>
          <w:iCs/>
          <w:sz w:val="22"/>
          <w:szCs w:val="22"/>
        </w:rPr>
      </w:pPr>
    </w:p>
    <w:p w14:paraId="5E251B10" w14:textId="77777777" w:rsidR="00BF697A" w:rsidRPr="0023301C" w:rsidRDefault="00BF697A" w:rsidP="00BF697A">
      <w:pPr>
        <w:rPr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23301C" w14:paraId="2D641393" w14:textId="77777777" w:rsidTr="00BF697A">
        <w:tc>
          <w:tcPr>
            <w:tcW w:w="4605" w:type="dxa"/>
          </w:tcPr>
          <w:p w14:paraId="508C170B" w14:textId="77777777" w:rsidR="00BF697A" w:rsidRPr="0023301C" w:rsidRDefault="00BF697A" w:rsidP="00BF697A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14:paraId="295CDFDB" w14:textId="0800DE74" w:rsidR="00BF697A" w:rsidRDefault="00B90962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Dr. Szente Kálmán</w:t>
            </w:r>
          </w:p>
          <w:p w14:paraId="2462C7FB" w14:textId="0FA10BA1" w:rsidR="00B90962" w:rsidRPr="00B90962" w:rsidRDefault="00B90962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iCs/>
                <w:sz w:val="22"/>
                <w:szCs w:val="22"/>
              </w:rPr>
            </w:pPr>
            <w:r w:rsidRPr="00B90962">
              <w:rPr>
                <w:iCs/>
                <w:sz w:val="22"/>
                <w:szCs w:val="22"/>
              </w:rPr>
              <w:t>Polgármester</w:t>
            </w:r>
          </w:p>
          <w:p w14:paraId="6B04ACBF" w14:textId="77777777" w:rsidR="00BF697A" w:rsidRPr="0023301C" w:rsidRDefault="007A6689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____________</w:t>
            </w:r>
          </w:p>
        </w:tc>
      </w:tr>
    </w:tbl>
    <w:p w14:paraId="734FAF5D" w14:textId="77777777" w:rsidR="00BF697A" w:rsidRPr="0023301C" w:rsidRDefault="00BF697A" w:rsidP="00BF697A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53076F21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5F3F3800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1754513D" w14:textId="77777777" w:rsidR="006646F9" w:rsidRDefault="006646F9" w:rsidP="00277288">
      <w:pPr>
        <w:rPr>
          <w:rFonts w:ascii="HDutch 801" w:eastAsia="MS Mincho" w:hAnsi="HDutch 801" w:hint="eastAsia"/>
          <w:b/>
          <w:bCs/>
          <w:sz w:val="22"/>
          <w:szCs w:val="22"/>
          <w:u w:val="single"/>
        </w:rPr>
      </w:pPr>
    </w:p>
    <w:p w14:paraId="18BD4098" w14:textId="58C95E6B" w:rsidR="00BF697A" w:rsidRPr="00277288" w:rsidRDefault="0023301C" w:rsidP="00277288">
      <w:pPr>
        <w:rPr>
          <w:b/>
          <w:sz w:val="22"/>
          <w:szCs w:val="22"/>
        </w:rPr>
      </w:pPr>
      <w:r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>HATÁROZATI  JAVASLAT</w:t>
      </w:r>
      <w:r w:rsidR="00BF697A" w:rsidRPr="00277288">
        <w:rPr>
          <w:rFonts w:ascii="HDutch 801" w:eastAsia="MS Mincho" w:hAnsi="HDutch 801"/>
          <w:b/>
          <w:bCs/>
          <w:sz w:val="22"/>
          <w:szCs w:val="22"/>
          <w:u w:val="single"/>
        </w:rPr>
        <w:t xml:space="preserve">: </w:t>
      </w:r>
      <w:r w:rsidR="00BF697A" w:rsidRPr="00277288">
        <w:rPr>
          <w:b/>
          <w:sz w:val="22"/>
          <w:szCs w:val="22"/>
        </w:rPr>
        <w:t>…/20</w:t>
      </w:r>
      <w:r w:rsidR="00B90962">
        <w:rPr>
          <w:b/>
          <w:sz w:val="22"/>
          <w:szCs w:val="22"/>
        </w:rPr>
        <w:t>21</w:t>
      </w:r>
      <w:r w:rsidR="00BF697A" w:rsidRPr="00277288">
        <w:rPr>
          <w:b/>
          <w:sz w:val="22"/>
          <w:szCs w:val="22"/>
        </w:rPr>
        <w:t xml:space="preserve">-H  igen/ nem/ tartózkodott </w:t>
      </w:r>
    </w:p>
    <w:p w14:paraId="2F63B9DF" w14:textId="77777777" w:rsidR="00BF697A" w:rsidRDefault="00BF697A" w:rsidP="00BF697A">
      <w:pPr>
        <w:rPr>
          <w:bCs/>
          <w:iCs/>
          <w:sz w:val="22"/>
          <w:szCs w:val="22"/>
        </w:rPr>
      </w:pPr>
    </w:p>
    <w:p w14:paraId="1FDE71C3" w14:textId="19785555" w:rsidR="007A6689" w:rsidRDefault="00B90962" w:rsidP="00BF697A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Solymár Nagyközség Önkormányzatának képviselő-testülete úgy dönt, hogy az Apáczai Csere János Művelődési Ház és Könyvtár alapdokumentumait (SZMSZ és alapító okirat) elfogadja.</w:t>
      </w:r>
    </w:p>
    <w:p w14:paraId="5CC8B1F8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1A60531C" w14:textId="59FBC95D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  <w:r w:rsidR="00B90962">
        <w:rPr>
          <w:sz w:val="22"/>
          <w:szCs w:val="22"/>
        </w:rPr>
        <w:t>intézményvezető</w:t>
      </w:r>
    </w:p>
    <w:p w14:paraId="7C610EBE" w14:textId="581756CA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  <w:r w:rsidR="00B90962">
        <w:rPr>
          <w:sz w:val="22"/>
          <w:szCs w:val="22"/>
        </w:rPr>
        <w:t>azonnal</w:t>
      </w:r>
    </w:p>
    <w:p w14:paraId="327F8A5B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555CB"/>
    <w:multiLevelType w:val="hybridMultilevel"/>
    <w:tmpl w:val="3D08C2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50A4E"/>
    <w:multiLevelType w:val="hybridMultilevel"/>
    <w:tmpl w:val="F70C3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B5B6E"/>
    <w:rsid w:val="00105897"/>
    <w:rsid w:val="00120E75"/>
    <w:rsid w:val="00133469"/>
    <w:rsid w:val="001D520E"/>
    <w:rsid w:val="002018EC"/>
    <w:rsid w:val="00210550"/>
    <w:rsid w:val="0021467F"/>
    <w:rsid w:val="0023301C"/>
    <w:rsid w:val="0024271E"/>
    <w:rsid w:val="00277288"/>
    <w:rsid w:val="002C5A67"/>
    <w:rsid w:val="003479C2"/>
    <w:rsid w:val="00356C7A"/>
    <w:rsid w:val="0036079A"/>
    <w:rsid w:val="00387222"/>
    <w:rsid w:val="00423947"/>
    <w:rsid w:val="004A341A"/>
    <w:rsid w:val="004C759A"/>
    <w:rsid w:val="004D0310"/>
    <w:rsid w:val="004D47CB"/>
    <w:rsid w:val="004F3118"/>
    <w:rsid w:val="0054344E"/>
    <w:rsid w:val="00546933"/>
    <w:rsid w:val="00546BF4"/>
    <w:rsid w:val="005823FB"/>
    <w:rsid w:val="005E4CE1"/>
    <w:rsid w:val="005E586F"/>
    <w:rsid w:val="005E69B9"/>
    <w:rsid w:val="00606C75"/>
    <w:rsid w:val="00655814"/>
    <w:rsid w:val="006646F9"/>
    <w:rsid w:val="006E7B04"/>
    <w:rsid w:val="006F3EB2"/>
    <w:rsid w:val="007357F7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A2214E"/>
    <w:rsid w:val="00A84FBC"/>
    <w:rsid w:val="00AB2D24"/>
    <w:rsid w:val="00AF4821"/>
    <w:rsid w:val="00B0271F"/>
    <w:rsid w:val="00B55182"/>
    <w:rsid w:val="00B7054F"/>
    <w:rsid w:val="00B90962"/>
    <w:rsid w:val="00BF697A"/>
    <w:rsid w:val="00C2635E"/>
    <w:rsid w:val="00C274EB"/>
    <w:rsid w:val="00C626CC"/>
    <w:rsid w:val="00CC3E53"/>
    <w:rsid w:val="00CE3ACF"/>
    <w:rsid w:val="00DD7553"/>
    <w:rsid w:val="00E0550C"/>
    <w:rsid w:val="00E66771"/>
    <w:rsid w:val="00E76E9C"/>
    <w:rsid w:val="00EB340D"/>
    <w:rsid w:val="00F05A8D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791A8478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B027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rsid w:val="00B0271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4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Beregszászi Márk</cp:lastModifiedBy>
  <cp:revision>3</cp:revision>
  <cp:lastPrinted>2014-10-14T07:19:00Z</cp:lastPrinted>
  <dcterms:created xsi:type="dcterms:W3CDTF">2021-12-08T10:42:00Z</dcterms:created>
  <dcterms:modified xsi:type="dcterms:W3CDTF">2021-12-10T07:55:00Z</dcterms:modified>
</cp:coreProperties>
</file>