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9D4A" w14:textId="77777777" w:rsidR="00D27718" w:rsidRDefault="000F175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Solymár Nagyközség Önkormányzata Képviselő-testületének .../2024. (IV. 25.) önkormányzati rendelete</w:t>
      </w:r>
    </w:p>
    <w:p w14:paraId="00F9C9FF" w14:textId="77777777" w:rsidR="00D27718" w:rsidRDefault="000F175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gyermekjóléti és szociális ellátások szabályairól szóló 3/2022. (IV.28.) önkormányzati rendelet módosításáról</w:t>
      </w:r>
    </w:p>
    <w:p w14:paraId="09C6F243" w14:textId="77777777" w:rsidR="00D27718" w:rsidRDefault="000F175B">
      <w:pPr>
        <w:pStyle w:val="Szvegtrzs"/>
        <w:spacing w:before="220" w:after="0" w:line="240" w:lineRule="auto"/>
        <w:jc w:val="both"/>
      </w:pPr>
      <w:r>
        <w:t xml:space="preserve">Solymár Nagyközség </w:t>
      </w:r>
      <w:r>
        <w:t>Önkormányzatának Képviselő-testülete Magyarország Alaptörvényének 32. cikk (2) bekezdése, valamint a szociális igazgatásról és szociális ellátásokról szóló 1993. évi III. törvény (a továbbiakban: Szoctv.) 132. § (4) d) és g) pontjában, valamint a gyermekek védelméről és a gyámügyi igazgatásról szóló 1997. évi XXXI. törvény (a továbbiakban: Gyvt.) 29. § és 162. § (5) bekezdésében kapott felhatalmazás alapján a gyermekjóléti és szociális ellátásokról az alábbi rendeletet alkotja.</w:t>
      </w:r>
    </w:p>
    <w:p w14:paraId="3048B7C7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0BF1E8D" w14:textId="77777777" w:rsidR="00D27718" w:rsidRDefault="000F175B">
      <w:pPr>
        <w:pStyle w:val="Szvegtrzs"/>
        <w:spacing w:after="0" w:line="240" w:lineRule="auto"/>
        <w:jc w:val="both"/>
      </w:pPr>
      <w:r>
        <w:t>A gyermekjóléti és szociális ellátások szabályairól szóló 3/2022. (IV. 28.) önkormányzati rendelet 3. § (2) bekezdése helyébe a következő rendelkezés lép:</w:t>
      </w:r>
    </w:p>
    <w:p w14:paraId="6F03F3D4" w14:textId="77777777" w:rsidR="00D27718" w:rsidRDefault="000F175B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b/>
          <w:bCs/>
        </w:rPr>
        <w:t xml:space="preserve">Szociálisan rászorult: </w:t>
      </w:r>
      <w:r>
        <w:t>Solymár Nagyközség Önkormányzata által az Szoctv. 1. § (2) bekezdésében kapott felhatalmazás alapján nyújtott ellátás tekintetében az a személy, akinek saját és vele egy háztartásban élő hozzátartozója jövedelme alapján számított egy főre eső, havi nettó jövedelme nem éri el a mindenkori szociális vetítési alap összegének 4-szeresét, fogyatékos személyek esetében 4,5-szeresét. Egyebekben az Szoctv. és a Gyvt-ben foglaltakat kell figyelembe venni.”</w:t>
      </w:r>
    </w:p>
    <w:p w14:paraId="05AE0421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FE1200E" w14:textId="77777777" w:rsidR="00D27718" w:rsidRDefault="000F175B">
      <w:pPr>
        <w:pStyle w:val="Szvegtrzs"/>
        <w:spacing w:after="0" w:line="240" w:lineRule="auto"/>
        <w:jc w:val="both"/>
      </w:pPr>
      <w:r>
        <w:t>A gyermekjóléti és szociális ellátások szabályairól szóló 3/2022. (IV. 28.) önkormányzati rendelet 9. § (3) és (4) bekezdése helyébe a következő rendelkezések lépnek:</w:t>
      </w:r>
    </w:p>
    <w:p w14:paraId="7A97B085" w14:textId="77777777" w:rsidR="00D27718" w:rsidRDefault="000F175B">
      <w:pPr>
        <w:pStyle w:val="Szvegtrzs"/>
        <w:spacing w:before="240" w:after="0" w:line="240" w:lineRule="auto"/>
        <w:jc w:val="both"/>
      </w:pPr>
      <w:r>
        <w:t>„(3) Az elhunyt személy eltemettetésének költségeihez való hozzájárulásként megállapított települési támogatás esetében az e Rendelet 3. § (2) bekezdésében meghatározottaktól eltérően egyedül élő személy esetében a rászorultsági jövedelemhatár a mindenkori szociális vetítési alap összegének a 4,5-szerese.</w:t>
      </w:r>
    </w:p>
    <w:p w14:paraId="285BCCD6" w14:textId="77777777" w:rsidR="00D27718" w:rsidRDefault="000F175B">
      <w:pPr>
        <w:pStyle w:val="Szvegtrzs"/>
        <w:spacing w:before="240" w:after="240" w:line="240" w:lineRule="auto"/>
        <w:jc w:val="both"/>
      </w:pPr>
      <w:r>
        <w:t>(4) Az települési támogatás adható eseti jelleggel, valamint meghatározott időszakra havi rendszerességgel, de az egy naptári évben nyújtható összeg – a méltányosság esetét kivéve – nem haladhatja meg családonként a mindenkori szociális vetítési alap összegének a 400 %-át.”</w:t>
      </w:r>
    </w:p>
    <w:p w14:paraId="64CE0495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E92B5F9" w14:textId="77777777" w:rsidR="00D27718" w:rsidRDefault="000F175B">
      <w:pPr>
        <w:pStyle w:val="Szvegtrzs"/>
        <w:spacing w:after="0" w:line="240" w:lineRule="auto"/>
        <w:jc w:val="both"/>
      </w:pPr>
      <w:r>
        <w:t>A gyermekjóléti és szociális ellátások szabályairól szóló 3/2022. (IV. 28.) önkormányzati rendelet 10. § (4) bekezdése helyébe a következő rendelkezés lép:</w:t>
      </w:r>
    </w:p>
    <w:p w14:paraId="6D5BF63C" w14:textId="77777777" w:rsidR="00D27718" w:rsidRDefault="000F175B">
      <w:pPr>
        <w:pStyle w:val="Szvegtrzs"/>
        <w:spacing w:before="240" w:after="240" w:line="240" w:lineRule="auto"/>
        <w:jc w:val="both"/>
      </w:pPr>
      <w:r>
        <w:t>„(4) Nem állapítható meg kamatmentes kölcsön annak, akinek a családjában az egy főre jutó nettó jövedelem eléri a mindenkori szociális vetítési alap összegének 4-szeresét.”</w:t>
      </w:r>
    </w:p>
    <w:p w14:paraId="7C024165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D93CB94" w14:textId="77777777" w:rsidR="00D27718" w:rsidRDefault="000F175B">
      <w:pPr>
        <w:pStyle w:val="Szvegtrzs"/>
        <w:spacing w:after="0" w:line="240" w:lineRule="auto"/>
        <w:jc w:val="both"/>
      </w:pPr>
      <w:r>
        <w:lastRenderedPageBreak/>
        <w:t>A gyermekjóléti és szociális ellátások szabályairól szóló 3/2022. (IV. 28.) önkormányzati rendelet 13. § (1) bekezdés b) pontja helyébe a következő rendelkezés lép:</w:t>
      </w:r>
    </w:p>
    <w:p w14:paraId="29F5F1C4" w14:textId="77777777" w:rsidR="00D27718" w:rsidRDefault="000F175B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(Lakbértámogatásra az a személy jogosult, aki az alábbi feltételeknek együttesen megfelel:)</w:t>
      </w:r>
    </w:p>
    <w:p w14:paraId="5B48AF90" w14:textId="77777777" w:rsidR="00D27718" w:rsidRDefault="000F175B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háztartásában az egy főre jutó jövedelem nem éri el a mindenkori szociális vetítési alap 3,5-szeresét, fogyatékos személyek esetében a 4-szeresét.”</w:t>
      </w:r>
    </w:p>
    <w:p w14:paraId="0E840C78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ADF134F" w14:textId="77777777" w:rsidR="00D27718" w:rsidRDefault="000F175B">
      <w:pPr>
        <w:pStyle w:val="Szvegtrzs"/>
        <w:spacing w:after="0" w:line="240" w:lineRule="auto"/>
        <w:jc w:val="both"/>
      </w:pPr>
      <w:r>
        <w:t>A gyermekjóléti és szociális ellátások szabályairól szóló 3/2022. (IV. 28.) önkormányzati rendelet 18. § (1) bekezdése helyébe a következő rendelkezés lép:</w:t>
      </w:r>
    </w:p>
    <w:p w14:paraId="5AF4B4FC" w14:textId="77777777" w:rsidR="00D27718" w:rsidRDefault="000F175B">
      <w:pPr>
        <w:pStyle w:val="Szvegtrzs"/>
        <w:spacing w:before="240" w:after="240" w:line="240" w:lineRule="auto"/>
        <w:jc w:val="both"/>
      </w:pPr>
      <w:r>
        <w:t xml:space="preserve">„(1) A 17. § (3) </w:t>
      </w:r>
      <w:r>
        <w:t>bekezdésben megállapított díj támogatás összege 7.000 forint, de nem haladhatja meg a havi számla, a közös költség esetében az igazolt közös költség összegét.”</w:t>
      </w:r>
    </w:p>
    <w:p w14:paraId="78D007FA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FCEF941" w14:textId="77777777" w:rsidR="00D27718" w:rsidRDefault="000F175B">
      <w:pPr>
        <w:pStyle w:val="Szvegtrzs"/>
        <w:spacing w:after="0" w:line="240" w:lineRule="auto"/>
        <w:jc w:val="both"/>
      </w:pPr>
      <w:r>
        <w:t>A gyermekjóléti és szociális ellátások szabályairól szóló 3/2022. (IV. 28.) önkormányzati rendelet 1. melléklete helyébe az 1. melléklet lép.</w:t>
      </w:r>
    </w:p>
    <w:p w14:paraId="223D2122" w14:textId="77777777" w:rsidR="00D27718" w:rsidRDefault="000F175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0A3ABA7" w14:textId="47E6E1DA" w:rsidR="000F175B" w:rsidRDefault="000F175B">
      <w:pPr>
        <w:pStyle w:val="Szvegtrzs"/>
        <w:spacing w:after="0" w:line="240" w:lineRule="auto"/>
        <w:jc w:val="both"/>
      </w:pPr>
      <w:r>
        <w:t>Ez a rendelet 2024. május 1-jén lép hatályba.</w:t>
      </w:r>
    </w:p>
    <w:p w14:paraId="32AB38D3" w14:textId="77777777" w:rsidR="000F175B" w:rsidRDefault="000F175B">
      <w:pPr>
        <w:pStyle w:val="Szvegtrzs"/>
        <w:spacing w:after="0" w:line="240" w:lineRule="auto"/>
        <w:jc w:val="both"/>
      </w:pPr>
    </w:p>
    <w:p w14:paraId="0B5D14C7" w14:textId="77777777" w:rsidR="000F175B" w:rsidRDefault="000F175B">
      <w:pPr>
        <w:pStyle w:val="Szvegtrzs"/>
        <w:spacing w:after="0" w:line="240" w:lineRule="auto"/>
        <w:jc w:val="both"/>
      </w:pPr>
    </w:p>
    <w:p w14:paraId="5B66C2E4" w14:textId="77777777" w:rsidR="000F175B" w:rsidRDefault="000F175B">
      <w:pPr>
        <w:pStyle w:val="Szvegtrzs"/>
        <w:spacing w:after="0" w:line="240" w:lineRule="auto"/>
        <w:jc w:val="both"/>
      </w:pPr>
    </w:p>
    <w:p w14:paraId="54597C30" w14:textId="77777777" w:rsidR="000F175B" w:rsidRDefault="000F175B">
      <w:pPr>
        <w:pStyle w:val="Szvegtrzs"/>
        <w:spacing w:after="0" w:line="240" w:lineRule="auto"/>
        <w:jc w:val="both"/>
      </w:pPr>
    </w:p>
    <w:p w14:paraId="3D7EA60C" w14:textId="77777777" w:rsidR="000F175B" w:rsidRDefault="000F175B">
      <w:pPr>
        <w:pStyle w:val="Szvegtrzs"/>
        <w:spacing w:after="0" w:line="240" w:lineRule="auto"/>
        <w:jc w:val="both"/>
      </w:pPr>
    </w:p>
    <w:p w14:paraId="3D9EEA7F" w14:textId="77777777" w:rsidR="000F175B" w:rsidRDefault="000F175B">
      <w:pPr>
        <w:pStyle w:val="Szvegtrzs"/>
        <w:spacing w:after="0" w:line="240" w:lineRule="auto"/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888"/>
        <w:gridCol w:w="4889"/>
      </w:tblGrid>
      <w:tr w:rsidR="000F175B" w:rsidRPr="00837EA8" w14:paraId="483BBA11" w14:textId="77777777" w:rsidTr="006973B3">
        <w:tc>
          <w:tcPr>
            <w:tcW w:w="4888" w:type="dxa"/>
          </w:tcPr>
          <w:p w14:paraId="7517F429" w14:textId="77777777" w:rsidR="000F175B" w:rsidRPr="00837EA8" w:rsidRDefault="000F175B" w:rsidP="006973B3">
            <w:pPr>
              <w:tabs>
                <w:tab w:val="left" w:pos="360"/>
              </w:tabs>
              <w:snapToGrid w:val="0"/>
              <w:jc w:val="center"/>
            </w:pPr>
            <w:r w:rsidRPr="00837EA8">
              <w:t>Dr. Beregszászi Márk</w:t>
            </w:r>
          </w:p>
          <w:p w14:paraId="32FEAECC" w14:textId="77777777" w:rsidR="000F175B" w:rsidRPr="00837EA8" w:rsidRDefault="000F175B" w:rsidP="006973B3">
            <w:pPr>
              <w:tabs>
                <w:tab w:val="left" w:pos="360"/>
              </w:tabs>
              <w:jc w:val="center"/>
            </w:pPr>
            <w:r w:rsidRPr="00837EA8">
              <w:t>Jegyző</w:t>
            </w:r>
          </w:p>
        </w:tc>
        <w:tc>
          <w:tcPr>
            <w:tcW w:w="4889" w:type="dxa"/>
          </w:tcPr>
          <w:p w14:paraId="6F84A325" w14:textId="77777777" w:rsidR="000F175B" w:rsidRPr="00837EA8" w:rsidRDefault="000F175B" w:rsidP="006973B3">
            <w:pPr>
              <w:tabs>
                <w:tab w:val="left" w:pos="360"/>
                <w:tab w:val="left" w:leader="dot" w:pos="7088"/>
              </w:tabs>
              <w:snapToGrid w:val="0"/>
              <w:jc w:val="center"/>
            </w:pPr>
            <w:r w:rsidRPr="00837EA8">
              <w:t>Dr. Szente Kálmán</w:t>
            </w:r>
          </w:p>
          <w:p w14:paraId="6F06521E" w14:textId="77777777" w:rsidR="000F175B" w:rsidRDefault="000F175B" w:rsidP="006973B3">
            <w:pPr>
              <w:tabs>
                <w:tab w:val="left" w:pos="360"/>
                <w:tab w:val="left" w:leader="dot" w:pos="7088"/>
              </w:tabs>
              <w:jc w:val="center"/>
            </w:pPr>
            <w:r w:rsidRPr="00837EA8">
              <w:t>Polgármester</w:t>
            </w:r>
          </w:p>
          <w:p w14:paraId="0B705718" w14:textId="77777777" w:rsidR="000F175B" w:rsidRDefault="000F175B" w:rsidP="006973B3">
            <w:pPr>
              <w:tabs>
                <w:tab w:val="left" w:pos="360"/>
                <w:tab w:val="left" w:leader="dot" w:pos="7088"/>
              </w:tabs>
              <w:jc w:val="center"/>
            </w:pPr>
          </w:p>
          <w:p w14:paraId="4E73B6E1" w14:textId="77777777" w:rsidR="000F175B" w:rsidRPr="00837EA8" w:rsidRDefault="000F175B" w:rsidP="006973B3">
            <w:pPr>
              <w:tabs>
                <w:tab w:val="left" w:pos="360"/>
                <w:tab w:val="left" w:leader="dot" w:pos="7088"/>
              </w:tabs>
              <w:jc w:val="center"/>
            </w:pPr>
          </w:p>
        </w:tc>
      </w:tr>
    </w:tbl>
    <w:p w14:paraId="365E0055" w14:textId="77777777" w:rsidR="000F175B" w:rsidRPr="00837EA8" w:rsidRDefault="000F175B" w:rsidP="000F175B">
      <w:pPr>
        <w:tabs>
          <w:tab w:val="left" w:pos="360"/>
          <w:tab w:val="left" w:pos="1843"/>
          <w:tab w:val="left" w:pos="6350"/>
        </w:tabs>
        <w:jc w:val="both"/>
      </w:pPr>
    </w:p>
    <w:p w14:paraId="4F3F94C5" w14:textId="72F818DD" w:rsidR="000F175B" w:rsidRPr="00837EA8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A rendelet kihirdetve: </w:t>
      </w:r>
      <w:r>
        <w:t>202</w:t>
      </w:r>
      <w:r>
        <w:t>4</w:t>
      </w:r>
      <w:r>
        <w:t xml:space="preserve">. április </w:t>
      </w:r>
      <w:r>
        <w:t>25.</w:t>
      </w:r>
    </w:p>
    <w:p w14:paraId="553B25E1" w14:textId="77777777" w:rsidR="000F175B" w:rsidRPr="00837EA8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</w:p>
    <w:p w14:paraId="5928FA2F" w14:textId="11FBF1E7" w:rsidR="000F175B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  <w:r w:rsidRPr="00837EA8">
        <w:t xml:space="preserve"> Solymár, 20</w:t>
      </w:r>
      <w:r>
        <w:t>2</w:t>
      </w:r>
      <w:r>
        <w:t>4</w:t>
      </w:r>
      <w:r>
        <w:t xml:space="preserve">. április </w:t>
      </w:r>
      <w:r>
        <w:t>25.</w:t>
      </w:r>
    </w:p>
    <w:p w14:paraId="1412C7ED" w14:textId="77777777" w:rsidR="000F175B" w:rsidRPr="00837EA8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2F8C8353" w14:textId="77777777" w:rsidR="000F175B" w:rsidRPr="00837EA8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                                                                                                           Dr. Beregszászi Márk</w:t>
      </w:r>
    </w:p>
    <w:p w14:paraId="3C96D1C8" w14:textId="77777777" w:rsidR="000F175B" w:rsidRPr="00837EA8" w:rsidRDefault="000F175B" w:rsidP="000F175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ab/>
      </w:r>
      <w:r w:rsidRPr="00837EA8">
        <w:tab/>
      </w:r>
      <w:r w:rsidRPr="00837EA8">
        <w:tab/>
      </w:r>
      <w:r w:rsidRPr="00837EA8">
        <w:tab/>
      </w:r>
      <w:r w:rsidRPr="00837EA8">
        <w:tab/>
        <w:t>jegyző</w:t>
      </w:r>
    </w:p>
    <w:p w14:paraId="00FABC34" w14:textId="77777777" w:rsidR="000F175B" w:rsidRPr="00837EA8" w:rsidRDefault="000F175B" w:rsidP="000F175B">
      <w:pPr>
        <w:tabs>
          <w:tab w:val="left" w:pos="360"/>
        </w:tabs>
        <w:jc w:val="both"/>
      </w:pPr>
      <w:r w:rsidRPr="00837EA8">
        <w:tab/>
      </w:r>
    </w:p>
    <w:p w14:paraId="655B27EF" w14:textId="77777777" w:rsidR="000F175B" w:rsidRDefault="000F175B">
      <w:pPr>
        <w:pStyle w:val="Szvegtrzs"/>
        <w:spacing w:after="0" w:line="240" w:lineRule="auto"/>
        <w:jc w:val="both"/>
      </w:pPr>
    </w:p>
    <w:p w14:paraId="3C6B21C7" w14:textId="77777777" w:rsidR="00D27718" w:rsidRDefault="000F175B" w:rsidP="000F175B">
      <w:pPr>
        <w:pStyle w:val="Szvegtrzs"/>
        <w:pageBreakBefore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.../2024. (IV. 25.) önkormányzati rendelethez</w:t>
      </w:r>
    </w:p>
    <w:p w14:paraId="74FB91D4" w14:textId="77777777" w:rsidR="00D27718" w:rsidRDefault="000F175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7216573E" w14:textId="77777777" w:rsidR="00D27718" w:rsidRDefault="000F175B">
      <w:pPr>
        <w:pStyle w:val="Szvegtrzs"/>
        <w:spacing w:before="240" w:after="48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Gyermek étkeztetés esetén nyújtható kedvezmények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5"/>
        <w:gridCol w:w="4907"/>
      </w:tblGrid>
      <w:tr w:rsidR="00D27718" w14:paraId="28F9B776" w14:textId="77777777">
        <w:trPr>
          <w:tblHeader/>
        </w:trPr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CEA5" w14:textId="77777777" w:rsidR="00D27718" w:rsidRDefault="000F175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Kérelmező egy havi jövedelme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8A26" w14:textId="77777777" w:rsidR="00D27718" w:rsidRDefault="000F175B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fizetendő térítési díj összege</w:t>
            </w:r>
          </w:p>
        </w:tc>
      </w:tr>
      <w:tr w:rsidR="00D27718" w14:paraId="3DC2926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F3AD" w14:textId="77777777" w:rsidR="00D27718" w:rsidRDefault="000F175B">
            <w:pPr>
              <w:pStyle w:val="Szvegtrzs"/>
              <w:spacing w:after="0" w:line="240" w:lineRule="auto"/>
            </w:pPr>
            <w:r>
              <w:t>A szociális vetítési alap összegének 3-szorosát nem haladja meg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3E41B" w14:textId="77777777" w:rsidR="00D27718" w:rsidRDefault="000F175B">
            <w:pPr>
              <w:pStyle w:val="Szvegtrzs"/>
              <w:spacing w:after="0" w:line="240" w:lineRule="auto"/>
            </w:pPr>
            <w:r>
              <w:t>A térítési díj 0%</w:t>
            </w:r>
          </w:p>
        </w:tc>
      </w:tr>
      <w:tr w:rsidR="00D27718" w14:paraId="37A261A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6AABE" w14:textId="77777777" w:rsidR="00D27718" w:rsidRDefault="000F175B">
            <w:pPr>
              <w:pStyle w:val="Szvegtrzs"/>
              <w:spacing w:after="0" w:line="240" w:lineRule="auto"/>
            </w:pPr>
            <w:r>
              <w:t>A szociális vetítési alap összegének 3 -szorosa + 3000.-Ft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11F81" w14:textId="77777777" w:rsidR="00D27718" w:rsidRDefault="000F175B">
            <w:pPr>
              <w:pStyle w:val="Szvegtrzs"/>
              <w:spacing w:after="0" w:line="240" w:lineRule="auto"/>
            </w:pPr>
            <w:r>
              <w:t>A térítési díj 30%-a</w:t>
            </w:r>
          </w:p>
        </w:tc>
      </w:tr>
      <w:tr w:rsidR="00D27718" w14:paraId="3ABF08C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B3BC" w14:textId="77777777" w:rsidR="00D27718" w:rsidRDefault="000F175B">
            <w:pPr>
              <w:pStyle w:val="Szvegtrzs"/>
              <w:spacing w:after="0" w:line="240" w:lineRule="auto"/>
            </w:pPr>
            <w:r>
              <w:t xml:space="preserve">A szociális vetítési alap összegének 3-szorosa + </w:t>
            </w:r>
            <w:r>
              <w:t>7000.-Ft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1329A" w14:textId="77777777" w:rsidR="00D27718" w:rsidRDefault="000F175B">
            <w:pPr>
              <w:pStyle w:val="Szvegtrzs"/>
              <w:spacing w:after="0" w:line="240" w:lineRule="auto"/>
            </w:pPr>
            <w:r>
              <w:t>A térítési díj 60%-a</w:t>
            </w:r>
          </w:p>
        </w:tc>
      </w:tr>
      <w:tr w:rsidR="00D27718" w14:paraId="398A11F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658E" w14:textId="77777777" w:rsidR="00D27718" w:rsidRDefault="000F175B">
            <w:pPr>
              <w:pStyle w:val="Szvegtrzs"/>
              <w:spacing w:after="0" w:line="240" w:lineRule="auto"/>
            </w:pPr>
            <w:r>
              <w:t>A szociális vetítési alap összegének 3-szorosa + 7001.-Ft és felette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1E490" w14:textId="77777777" w:rsidR="00D27718" w:rsidRDefault="000F175B">
            <w:pPr>
              <w:pStyle w:val="Szvegtrzs"/>
              <w:spacing w:after="0" w:line="240" w:lineRule="auto"/>
            </w:pPr>
            <w:r>
              <w:t>A térítési díj 100%-a</w:t>
            </w:r>
          </w:p>
        </w:tc>
      </w:tr>
    </w:tbl>
    <w:p w14:paraId="00E05700" w14:textId="77777777" w:rsidR="00D27718" w:rsidRDefault="000F175B">
      <w:pPr>
        <w:pStyle w:val="Szvegtrzs"/>
        <w:spacing w:before="220" w:after="240" w:line="240" w:lineRule="auto"/>
        <w:jc w:val="both"/>
        <w:sectPr w:rsidR="00D2771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Környezettanulmány alapján a Polgármester méltányosságot gyakorolhat.”</w:t>
      </w:r>
    </w:p>
    <w:p w14:paraId="397650CD" w14:textId="77777777" w:rsidR="00D27718" w:rsidRDefault="00D27718">
      <w:pPr>
        <w:pStyle w:val="Szvegtrzs"/>
        <w:spacing w:after="0"/>
        <w:jc w:val="center"/>
      </w:pPr>
    </w:p>
    <w:p w14:paraId="0B068BFD" w14:textId="77777777" w:rsidR="00D27718" w:rsidRDefault="000F175B">
      <w:pPr>
        <w:pStyle w:val="Szvegtrzs"/>
        <w:spacing w:after="159" w:line="240" w:lineRule="auto"/>
        <w:ind w:left="159" w:right="159"/>
        <w:jc w:val="center"/>
      </w:pPr>
      <w:r>
        <w:t xml:space="preserve">Végső </w:t>
      </w:r>
      <w:r>
        <w:t>előterjesztői indokolás</w:t>
      </w:r>
    </w:p>
    <w:p w14:paraId="15351ABE" w14:textId="77777777" w:rsidR="00D27718" w:rsidRDefault="000F175B">
      <w:pPr>
        <w:pStyle w:val="Szvegtrzs"/>
        <w:spacing w:after="0" w:line="240" w:lineRule="auto"/>
        <w:jc w:val="both"/>
      </w:pPr>
      <w:r>
        <w:t xml:space="preserve">A szociális igazgatásról és szociális ellátásokról szóló 1993. évi III. törvény (a továbbiakban: Szt.) rendelkezése alapján a szociális ellátás feltételeinek biztosítása az állam központi szerveinek és a helyi önkormányzatoknak a feladata. A helyi önkormányzatok az Szt.-ben szabályozott ellátásokon túl saját költségvetésük terhére egyéb ellátásokat is megállapíthatnak. Az Szt. 45. §-a értelmében a képviselő-testület az Szt. rendelkezései alapján nyújtott pénzbeli és természetbeni ellátások kiegészítéseként </w:t>
      </w:r>
      <w:r>
        <w:t>önkormányzati rendeletben meghatározott feltételek alapján pénzbeli vagy természetbeni formában települési támogatást nyújt.</w:t>
      </w:r>
    </w:p>
    <w:p w14:paraId="314F967C" w14:textId="77777777" w:rsidR="00D27718" w:rsidRDefault="000F175B">
      <w:pPr>
        <w:pStyle w:val="Szvegtrzs"/>
        <w:spacing w:after="0" w:line="240" w:lineRule="auto"/>
        <w:jc w:val="both"/>
      </w:pPr>
      <w:r>
        <w:t> </w:t>
      </w:r>
    </w:p>
    <w:p w14:paraId="554CD402" w14:textId="77777777" w:rsidR="00D27718" w:rsidRDefault="000F175B">
      <w:pPr>
        <w:pStyle w:val="Szvegtrzs"/>
        <w:spacing w:after="0" w:line="240" w:lineRule="auto"/>
        <w:jc w:val="both"/>
      </w:pPr>
      <w:r>
        <w:t>Az Szt. 133. § (4) bekezdése alapján felhatalmazást kap a települési önkormányzat, hogy rendeletben szabályozza a települési támogatás keretében nyújtott ellátások jogosultsági feltételeit, valamint az ellátások megállapításának, kifizetésének, folyósításának, valamint felhasználása ellenőrzésének szabályait, amely alapján a képviselő-testület megalkotta a gyermekjóléti és szociális ellátások szabályairól szóló 3/2022. (IV.28.) önkormányzati rendeletet (a továbbiakban: Rendelet).</w:t>
      </w:r>
    </w:p>
    <w:p w14:paraId="7F6E3D12" w14:textId="77777777" w:rsidR="00D27718" w:rsidRDefault="000F175B">
      <w:pPr>
        <w:pStyle w:val="Szvegtrzs"/>
        <w:spacing w:after="0" w:line="240" w:lineRule="auto"/>
        <w:jc w:val="both"/>
      </w:pPr>
      <w:r>
        <w:t> </w:t>
      </w:r>
    </w:p>
    <w:p w14:paraId="4329CE67" w14:textId="77777777" w:rsidR="00D27718" w:rsidRDefault="000F175B">
      <w:pPr>
        <w:pStyle w:val="Szvegtrzs"/>
        <w:spacing w:after="0" w:line="240" w:lineRule="auto"/>
        <w:jc w:val="both"/>
      </w:pPr>
      <w:r>
        <w:t>A Rendelet szerinti pénzbeli és természetbeni ellátások esetében a támogatás megállapításához vizsgálni kell a kérelmező és családjának, vagy háztartásának a jövedelmét. A támogatásokra többek között akkor jogosult a kérelmező, ha az egy főre jutó havi jövedelem nem haladja meg a Rendeletben meghatározott jövedelemhatárt. A jövedelemhatárok az Szt. szabályai alapján a szociális vetítési alap összegének figyelembevételével kerültek megállapításra.</w:t>
      </w:r>
    </w:p>
    <w:p w14:paraId="35E030CB" w14:textId="77777777" w:rsidR="00D27718" w:rsidRDefault="000F175B">
      <w:pPr>
        <w:pStyle w:val="Szvegtrzs"/>
        <w:spacing w:after="0" w:line="240" w:lineRule="auto"/>
        <w:jc w:val="both"/>
      </w:pPr>
      <w:r>
        <w:t>A szociális vetítési alap összege hosszú évek óta változatlan, jelenleg is 28.500 Ft.</w:t>
      </w:r>
    </w:p>
    <w:p w14:paraId="74BC9A62" w14:textId="77777777" w:rsidR="00D27718" w:rsidRDefault="000F175B">
      <w:pPr>
        <w:pStyle w:val="Szvegtrzs"/>
        <w:spacing w:after="0" w:line="240" w:lineRule="auto"/>
        <w:jc w:val="both"/>
      </w:pPr>
      <w:r>
        <w:t>A munkabér, a nyugellátások, a nyugdíjfolyósító szerv által folyósított egyéb ellátások folyamatosan növekednek, így egyre kevesebben tudnak megfelelni a jogosultsági feltételeknek jelen jövedelemhatárok mellett.</w:t>
      </w:r>
    </w:p>
    <w:p w14:paraId="027B9C1D" w14:textId="77777777" w:rsidR="00D27718" w:rsidRDefault="000F175B">
      <w:pPr>
        <w:pStyle w:val="Szvegtrzs"/>
        <w:spacing w:after="0" w:line="240" w:lineRule="auto"/>
        <w:jc w:val="both"/>
      </w:pPr>
      <w:r>
        <w:t>A jövedelemhatárok megemelésével szélesebb körben vehetnék igénybe a rászorulók az egyes támogatásokat és több nehéz anyagi körülmények között élő, szociálisan hátrányos helyzetű család számára tudna segítséget nyújtani önkormányzatunk.</w:t>
      </w:r>
    </w:p>
    <w:p w14:paraId="5B20B769" w14:textId="77777777" w:rsidR="00D27718" w:rsidRDefault="000F175B">
      <w:pPr>
        <w:pStyle w:val="Szvegtrzs"/>
        <w:spacing w:after="0" w:line="240" w:lineRule="auto"/>
        <w:ind w:right="150"/>
        <w:jc w:val="both"/>
      </w:pPr>
      <w:r>
        <w:t> </w:t>
      </w:r>
    </w:p>
    <w:p w14:paraId="11291DCD" w14:textId="77777777" w:rsidR="00D27718" w:rsidRDefault="000F175B">
      <w:pPr>
        <w:pStyle w:val="Szvegtrzs"/>
        <w:spacing w:after="0" w:line="240" w:lineRule="auto"/>
        <w:ind w:right="150"/>
        <w:jc w:val="both"/>
      </w:pPr>
      <w:r>
        <w:t>A jogalkotásról szóló 2010. évi CXXX. törvény 17. § (1) és (2) bekezdése alapján lefolytatott hatásvizsgálat az alábbiakat állapította meg:</w:t>
      </w:r>
    </w:p>
    <w:p w14:paraId="7169061B" w14:textId="77777777" w:rsidR="00D27718" w:rsidRDefault="000F175B">
      <w:pPr>
        <w:pStyle w:val="Szvegtrzs"/>
        <w:spacing w:after="0" w:line="240" w:lineRule="auto"/>
        <w:jc w:val="both"/>
      </w:pPr>
      <w:r>
        <w:t> </w:t>
      </w:r>
    </w:p>
    <w:p w14:paraId="651C2255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t>Társadalmi hatások: A Rendelet módosításával az önkormányzat továbbra is támogatni tudja a szociálisan rászoruló családokat.</w:t>
      </w:r>
    </w:p>
    <w:p w14:paraId="035DFFB5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t>Gazdasági, költségvetési hatások: A Rendeletben foglalt végrehajtásának gazdasági, költségvetési hatása nincsen. A támogatások kifizetéséhez a 2024. évi költségvetésben a fedezet rendelkezésre áll.</w:t>
      </w:r>
    </w:p>
    <w:p w14:paraId="48277AA6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t>Környezeti és Egészségi következmények: A Rendelet megalkotása környezeti és egészségi következménnyel nem jár.</w:t>
      </w:r>
    </w:p>
    <w:p w14:paraId="2D991F7A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t xml:space="preserve">Adminisztratív terheket befolyásoló tényezők: A Rendeletben foglaltak végrehajtásának </w:t>
      </w:r>
      <w:r>
        <w:t>adminisztratív terheket befolyásoló hatása nincs.</w:t>
      </w:r>
    </w:p>
    <w:p w14:paraId="665957BF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t>A jogszabály megalkotásának szükségessége, a jogalkotás elmaradásának várható következményei: A Rendelet módosításának elmaradása esetén több solymári lakos, család elesik az elmúlt években megszokott támogatásoktól.</w:t>
      </w:r>
    </w:p>
    <w:p w14:paraId="0C881EB8" w14:textId="77777777" w:rsidR="00D27718" w:rsidRDefault="000F175B">
      <w:pPr>
        <w:numPr>
          <w:ilvl w:val="0"/>
          <w:numId w:val="2"/>
        </w:numPr>
        <w:spacing w:before="159" w:after="159"/>
        <w:jc w:val="both"/>
      </w:pPr>
      <w:r>
        <w:lastRenderedPageBreak/>
        <w:t>A jogszabály alkalmazásához szükséges személyi, szervezeti, tárgyi és pénzügyi  feltételek: A Rendelet alkalmazásához rendelkezik az önkormányzat a szükséges személyi, szervezeti, tárgyi és pénzügyi feltételekkel.</w:t>
      </w:r>
    </w:p>
    <w:sectPr w:rsidR="00D2771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3788" w14:textId="77777777" w:rsidR="000F175B" w:rsidRDefault="000F175B">
      <w:r>
        <w:separator/>
      </w:r>
    </w:p>
  </w:endnote>
  <w:endnote w:type="continuationSeparator" w:id="0">
    <w:p w14:paraId="01AAF88C" w14:textId="77777777" w:rsidR="000F175B" w:rsidRDefault="000F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E0B96" w14:textId="77777777" w:rsidR="00D27718" w:rsidRDefault="000F175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C5FE" w14:textId="77777777" w:rsidR="00D27718" w:rsidRDefault="000F175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3291B" w14:textId="77777777" w:rsidR="000F175B" w:rsidRDefault="000F175B">
      <w:r>
        <w:separator/>
      </w:r>
    </w:p>
  </w:footnote>
  <w:footnote w:type="continuationSeparator" w:id="0">
    <w:p w14:paraId="4FC5EFB5" w14:textId="77777777" w:rsidR="000F175B" w:rsidRDefault="000F1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D224F"/>
    <w:multiLevelType w:val="multilevel"/>
    <w:tmpl w:val="C22203B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31321827"/>
    <w:multiLevelType w:val="multilevel"/>
    <w:tmpl w:val="7BC0EFD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9896583">
    <w:abstractNumId w:val="1"/>
  </w:num>
  <w:num w:numId="2" w16cid:durableId="104256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718"/>
    <w:rsid w:val="000F175B"/>
    <w:rsid w:val="00BF4ABE"/>
    <w:rsid w:val="00D2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F6F8"/>
  <w15:docId w15:val="{3B45BD53-2C5A-47ED-8370-33C815C6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Beregszászi Márk</dc:creator>
  <dc:description/>
  <cp:lastModifiedBy>Dr. Beregszászi Márk</cp:lastModifiedBy>
  <cp:revision>3</cp:revision>
  <dcterms:created xsi:type="dcterms:W3CDTF">2024-04-18T10:22:00Z</dcterms:created>
  <dcterms:modified xsi:type="dcterms:W3CDTF">2024-04-18T10:23:00Z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