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E104BD" w14:textId="77777777" w:rsidR="00C075D4" w:rsidRPr="00302359" w:rsidRDefault="00C075D4" w:rsidP="00C075D4">
      <w:pPr>
        <w:spacing w:line="360" w:lineRule="auto"/>
        <w:ind w:right="141"/>
        <w:jc w:val="center"/>
        <w:rPr>
          <w:b/>
          <w:bCs/>
          <w:szCs w:val="24"/>
        </w:rPr>
      </w:pPr>
      <w:r w:rsidRPr="00302359">
        <w:rPr>
          <w:b/>
          <w:bCs/>
          <w:noProof/>
          <w:szCs w:val="24"/>
          <w:lang w:eastAsia="hu-HU"/>
        </w:rPr>
        <w:drawing>
          <wp:anchor distT="0" distB="0" distL="114300" distR="114300" simplePos="0" relativeHeight="251659264" behindDoc="1" locked="0" layoutInCell="1" allowOverlap="1" wp14:anchorId="3AACADA1" wp14:editId="0D8DD2BB">
            <wp:simplePos x="0" y="0"/>
            <wp:positionH relativeFrom="column">
              <wp:posOffset>2507615</wp:posOffset>
            </wp:positionH>
            <wp:positionV relativeFrom="paragraph">
              <wp:posOffset>0</wp:posOffset>
            </wp:positionV>
            <wp:extent cx="575945" cy="714375"/>
            <wp:effectExtent l="19050" t="0" r="0" b="0"/>
            <wp:wrapTight wrapText="bothSides">
              <wp:wrapPolygon edited="0">
                <wp:start x="-714" y="0"/>
                <wp:lineTo x="-714" y="21312"/>
                <wp:lineTo x="21433" y="21312"/>
                <wp:lineTo x="21433" y="0"/>
                <wp:lineTo x="-714" y="0"/>
              </wp:wrapPolygon>
            </wp:wrapTight>
            <wp:docPr id="1" name="Kép 2" descr="solyma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solymarcimer"/>
                    <pic:cNvPicPr>
                      <a:picLocks noChangeAspect="1" noChangeArrowheads="1"/>
                    </pic:cNvPicPr>
                  </pic:nvPicPr>
                  <pic:blipFill>
                    <a:blip r:embed="rId8"/>
                    <a:srcRect/>
                    <a:stretch>
                      <a:fillRect/>
                    </a:stretch>
                  </pic:blipFill>
                  <pic:spPr bwMode="auto">
                    <a:xfrm>
                      <a:off x="0" y="0"/>
                      <a:ext cx="575945" cy="714375"/>
                    </a:xfrm>
                    <a:prstGeom prst="rect">
                      <a:avLst/>
                    </a:prstGeom>
                    <a:noFill/>
                    <a:ln w="9525">
                      <a:noFill/>
                      <a:miter lim="800000"/>
                      <a:headEnd/>
                      <a:tailEnd/>
                    </a:ln>
                  </pic:spPr>
                </pic:pic>
              </a:graphicData>
            </a:graphic>
          </wp:anchor>
        </w:drawing>
      </w:r>
    </w:p>
    <w:p w14:paraId="227F75DE" w14:textId="77777777" w:rsidR="00C075D4" w:rsidRDefault="00C075D4" w:rsidP="00C075D4">
      <w:pPr>
        <w:spacing w:line="360" w:lineRule="auto"/>
        <w:ind w:right="141"/>
        <w:jc w:val="center"/>
        <w:rPr>
          <w:b/>
          <w:bCs/>
          <w:szCs w:val="24"/>
        </w:rPr>
      </w:pPr>
    </w:p>
    <w:p w14:paraId="0ED989C3" w14:textId="77777777" w:rsidR="00C075D4" w:rsidRDefault="00C075D4" w:rsidP="00C075D4">
      <w:pPr>
        <w:spacing w:line="360" w:lineRule="auto"/>
        <w:ind w:right="141"/>
        <w:jc w:val="center"/>
        <w:rPr>
          <w:b/>
          <w:bCs/>
          <w:szCs w:val="24"/>
        </w:rPr>
      </w:pPr>
    </w:p>
    <w:p w14:paraId="4A86B596" w14:textId="77777777" w:rsidR="00C075D4" w:rsidRPr="00302359" w:rsidRDefault="00C075D4" w:rsidP="00C075D4">
      <w:pPr>
        <w:spacing w:line="360" w:lineRule="auto"/>
        <w:ind w:right="141"/>
        <w:jc w:val="center"/>
        <w:rPr>
          <w:b/>
          <w:bCs/>
          <w:szCs w:val="24"/>
        </w:rPr>
      </w:pPr>
      <w:r w:rsidRPr="00302359">
        <w:rPr>
          <w:b/>
          <w:bCs/>
          <w:szCs w:val="24"/>
        </w:rPr>
        <w:t>Solymár Nagyközség Önkormányzatának Képviselő-testülete részére</w:t>
      </w:r>
    </w:p>
    <w:p w14:paraId="2CF11ABA" w14:textId="77777777" w:rsidR="00C075D4" w:rsidRPr="00302359" w:rsidRDefault="00C075D4" w:rsidP="00C075D4">
      <w:pPr>
        <w:tabs>
          <w:tab w:val="left" w:pos="3261"/>
        </w:tabs>
        <w:spacing w:line="360" w:lineRule="auto"/>
        <w:ind w:left="3261"/>
        <w:rPr>
          <w:b/>
          <w:bCs/>
          <w:szCs w:val="24"/>
        </w:rPr>
      </w:pPr>
      <w:r w:rsidRPr="00302359">
        <w:rPr>
          <w:b/>
          <w:bCs/>
          <w:szCs w:val="24"/>
        </w:rPr>
        <w:t>ELŐTERJESZTÉS</w:t>
      </w:r>
    </w:p>
    <w:tbl>
      <w:tblPr>
        <w:tblW w:w="0" w:type="auto"/>
        <w:tblInd w:w="70" w:type="dxa"/>
        <w:tblLayout w:type="fixed"/>
        <w:tblCellMar>
          <w:left w:w="70" w:type="dxa"/>
          <w:right w:w="70" w:type="dxa"/>
        </w:tblCellMar>
        <w:tblLook w:val="00A0" w:firstRow="1" w:lastRow="0" w:firstColumn="1" w:lastColumn="0" w:noHBand="0" w:noVBand="0"/>
      </w:tblPr>
      <w:tblGrid>
        <w:gridCol w:w="2932"/>
        <w:gridCol w:w="3071"/>
        <w:gridCol w:w="3141"/>
      </w:tblGrid>
      <w:tr w:rsidR="00C075D4" w:rsidRPr="00302359" w14:paraId="7B187EA8" w14:textId="77777777" w:rsidTr="00206D6D">
        <w:tc>
          <w:tcPr>
            <w:tcW w:w="2932" w:type="dxa"/>
            <w:tcBorders>
              <w:top w:val="single" w:sz="4" w:space="0" w:color="000000"/>
              <w:left w:val="single" w:sz="4" w:space="0" w:color="000000"/>
              <w:bottom w:val="single" w:sz="4" w:space="0" w:color="000000"/>
              <w:right w:val="nil"/>
            </w:tcBorders>
            <w:shd w:val="clear" w:color="auto" w:fill="A6A6A6" w:themeFill="background1" w:themeFillShade="A6"/>
          </w:tcPr>
          <w:p w14:paraId="389B263D" w14:textId="77777777" w:rsidR="00C075D4" w:rsidRPr="00302359" w:rsidRDefault="00C075D4" w:rsidP="00206D6D">
            <w:pPr>
              <w:snapToGrid w:val="0"/>
              <w:jc w:val="center"/>
              <w:rPr>
                <w:b/>
                <w:bCs/>
                <w:szCs w:val="24"/>
              </w:rPr>
            </w:pPr>
            <w:r w:rsidRPr="00302359">
              <w:rPr>
                <w:b/>
                <w:bCs/>
                <w:szCs w:val="24"/>
              </w:rPr>
              <w:t>Benyújtotta:</w:t>
            </w:r>
          </w:p>
        </w:tc>
        <w:tc>
          <w:tcPr>
            <w:tcW w:w="3071" w:type="dxa"/>
            <w:tcBorders>
              <w:top w:val="single" w:sz="4" w:space="0" w:color="000000"/>
              <w:left w:val="single" w:sz="4" w:space="0" w:color="000000"/>
              <w:bottom w:val="single" w:sz="4" w:space="0" w:color="000000"/>
              <w:right w:val="nil"/>
            </w:tcBorders>
            <w:shd w:val="clear" w:color="auto" w:fill="A6A6A6" w:themeFill="background1" w:themeFillShade="A6"/>
          </w:tcPr>
          <w:p w14:paraId="3316D5BE" w14:textId="77777777" w:rsidR="00C075D4" w:rsidRPr="00302359" w:rsidRDefault="00C075D4" w:rsidP="00206D6D">
            <w:pPr>
              <w:snapToGrid w:val="0"/>
              <w:jc w:val="center"/>
              <w:rPr>
                <w:b/>
                <w:bCs/>
                <w:szCs w:val="24"/>
              </w:rPr>
            </w:pPr>
            <w:r w:rsidRPr="00302359">
              <w:rPr>
                <w:b/>
                <w:bCs/>
                <w:szCs w:val="24"/>
              </w:rPr>
              <w:t>Dátum:</w:t>
            </w:r>
          </w:p>
        </w:tc>
        <w:tc>
          <w:tcPr>
            <w:tcW w:w="314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E129CDD" w14:textId="77777777" w:rsidR="00C075D4" w:rsidRPr="00302359" w:rsidRDefault="00C075D4" w:rsidP="00206D6D">
            <w:pPr>
              <w:snapToGrid w:val="0"/>
              <w:jc w:val="center"/>
              <w:rPr>
                <w:b/>
                <w:bCs/>
                <w:szCs w:val="24"/>
              </w:rPr>
            </w:pPr>
            <w:r w:rsidRPr="00302359">
              <w:rPr>
                <w:b/>
                <w:bCs/>
                <w:szCs w:val="24"/>
              </w:rPr>
              <w:t>Sorszám:</w:t>
            </w:r>
          </w:p>
        </w:tc>
      </w:tr>
      <w:tr w:rsidR="00C075D4" w:rsidRPr="00302359" w14:paraId="2697C3B5" w14:textId="77777777" w:rsidTr="00206D6D">
        <w:tc>
          <w:tcPr>
            <w:tcW w:w="2932" w:type="dxa"/>
            <w:tcBorders>
              <w:top w:val="single" w:sz="4" w:space="0" w:color="000000"/>
              <w:left w:val="single" w:sz="4" w:space="0" w:color="000000"/>
              <w:bottom w:val="single" w:sz="4" w:space="0" w:color="000000"/>
              <w:right w:val="nil"/>
            </w:tcBorders>
          </w:tcPr>
          <w:p w14:paraId="75BFF1F5" w14:textId="77777777" w:rsidR="00C075D4" w:rsidRDefault="00C075D4" w:rsidP="00206D6D">
            <w:pPr>
              <w:snapToGrid w:val="0"/>
              <w:jc w:val="center"/>
              <w:rPr>
                <w:b/>
                <w:bCs/>
                <w:szCs w:val="24"/>
              </w:rPr>
            </w:pPr>
            <w:r>
              <w:rPr>
                <w:b/>
                <w:bCs/>
                <w:szCs w:val="24"/>
              </w:rPr>
              <w:t>Dr. Zlinszky Péter</w:t>
            </w:r>
          </w:p>
          <w:p w14:paraId="5FB238D1" w14:textId="77777777" w:rsidR="00C075D4" w:rsidRPr="00302359" w:rsidRDefault="00C075D4" w:rsidP="00206D6D">
            <w:pPr>
              <w:snapToGrid w:val="0"/>
              <w:jc w:val="center"/>
              <w:rPr>
                <w:b/>
                <w:bCs/>
                <w:szCs w:val="24"/>
              </w:rPr>
            </w:pPr>
            <w:r>
              <w:rPr>
                <w:b/>
                <w:bCs/>
                <w:szCs w:val="24"/>
              </w:rPr>
              <w:t>Polgármester</w:t>
            </w:r>
          </w:p>
        </w:tc>
        <w:tc>
          <w:tcPr>
            <w:tcW w:w="3071" w:type="dxa"/>
            <w:tcBorders>
              <w:top w:val="single" w:sz="4" w:space="0" w:color="000000"/>
              <w:left w:val="single" w:sz="4" w:space="0" w:color="000000"/>
              <w:bottom w:val="single" w:sz="4" w:space="0" w:color="000000"/>
              <w:right w:val="nil"/>
            </w:tcBorders>
            <w:vAlign w:val="center"/>
          </w:tcPr>
          <w:p w14:paraId="533A8AA8" w14:textId="77777777" w:rsidR="00C075D4" w:rsidRPr="00302359" w:rsidRDefault="00C075D4" w:rsidP="00206D6D">
            <w:pPr>
              <w:snapToGrid w:val="0"/>
              <w:jc w:val="center"/>
              <w:rPr>
                <w:b/>
                <w:bCs/>
                <w:szCs w:val="24"/>
              </w:rPr>
            </w:pPr>
            <w:r>
              <w:rPr>
                <w:b/>
                <w:bCs/>
                <w:szCs w:val="24"/>
              </w:rPr>
              <w:t>2025. február 7.</w:t>
            </w:r>
          </w:p>
        </w:tc>
        <w:tc>
          <w:tcPr>
            <w:tcW w:w="3141" w:type="dxa"/>
            <w:tcBorders>
              <w:top w:val="single" w:sz="4" w:space="0" w:color="000000"/>
              <w:left w:val="single" w:sz="4" w:space="0" w:color="000000"/>
              <w:bottom w:val="single" w:sz="4" w:space="0" w:color="000000"/>
              <w:right w:val="single" w:sz="4" w:space="0" w:color="000000"/>
            </w:tcBorders>
            <w:vAlign w:val="center"/>
          </w:tcPr>
          <w:p w14:paraId="07E63BFB" w14:textId="78EF199E" w:rsidR="00C075D4" w:rsidRPr="00302359" w:rsidRDefault="005B4191" w:rsidP="00206D6D">
            <w:pPr>
              <w:snapToGrid w:val="0"/>
              <w:jc w:val="center"/>
              <w:rPr>
                <w:b/>
                <w:bCs/>
                <w:szCs w:val="24"/>
              </w:rPr>
            </w:pPr>
            <w:r>
              <w:rPr>
                <w:b/>
                <w:bCs/>
                <w:szCs w:val="24"/>
              </w:rPr>
              <w:t>1</w:t>
            </w:r>
            <w:r w:rsidR="00BC02AF">
              <w:rPr>
                <w:b/>
                <w:bCs/>
                <w:szCs w:val="24"/>
              </w:rPr>
              <w:t>6</w:t>
            </w:r>
            <w:r w:rsidR="00C075D4">
              <w:rPr>
                <w:b/>
                <w:bCs/>
                <w:szCs w:val="24"/>
              </w:rPr>
              <w:t>/2025.</w:t>
            </w:r>
          </w:p>
        </w:tc>
      </w:tr>
    </w:tbl>
    <w:p w14:paraId="3A6B23A9" w14:textId="77777777" w:rsidR="00C075D4" w:rsidRPr="002A5BE8" w:rsidRDefault="00C075D4" w:rsidP="00C075D4">
      <w:pPr>
        <w:rPr>
          <w:b/>
          <w:bCs/>
          <w:i/>
          <w:iCs/>
          <w:sz w:val="20"/>
        </w:rPr>
      </w:pPr>
      <w:r w:rsidRPr="002A5BE8">
        <w:rPr>
          <w:b/>
          <w:bCs/>
          <w:i/>
          <w:iCs/>
          <w:sz w:val="20"/>
        </w:rPr>
        <w:t xml:space="preserve">Ügyintéző neve: </w:t>
      </w:r>
      <w:r w:rsidRPr="002A5BE8">
        <w:rPr>
          <w:bCs/>
          <w:i/>
          <w:iCs/>
          <w:sz w:val="20"/>
        </w:rPr>
        <w:t>Dr. Zlinszky Péter</w:t>
      </w:r>
    </w:p>
    <w:p w14:paraId="3B43ECDA" w14:textId="77777777" w:rsidR="00C075D4" w:rsidRPr="002A5BE8" w:rsidRDefault="00C075D4" w:rsidP="00C075D4">
      <w:pPr>
        <w:rPr>
          <w:i/>
          <w:iCs/>
          <w:sz w:val="20"/>
        </w:rPr>
      </w:pPr>
      <w:r w:rsidRPr="002A5BE8">
        <w:rPr>
          <w:b/>
          <w:bCs/>
          <w:i/>
          <w:iCs/>
          <w:sz w:val="20"/>
        </w:rPr>
        <w:t>Az előkészítésben résztvevők megnevezése</w:t>
      </w:r>
      <w:r w:rsidRPr="002A5BE8">
        <w:rPr>
          <w:i/>
          <w:iCs/>
          <w:sz w:val="20"/>
        </w:rPr>
        <w:t xml:space="preserve">: </w:t>
      </w:r>
      <w:r w:rsidRPr="002A5BE8">
        <w:rPr>
          <w:bCs/>
          <w:i/>
          <w:iCs/>
          <w:sz w:val="20"/>
        </w:rPr>
        <w:t>Darabos Orsolya</w:t>
      </w:r>
    </w:p>
    <w:p w14:paraId="37E23499" w14:textId="77777777" w:rsidR="00C075D4" w:rsidRPr="002A5BE8" w:rsidRDefault="00C075D4" w:rsidP="00C075D4">
      <w:pPr>
        <w:ind w:left="720" w:hanging="714"/>
        <w:rPr>
          <w:i/>
          <w:iCs/>
          <w:sz w:val="20"/>
        </w:rPr>
      </w:pPr>
      <w:r w:rsidRPr="002A5BE8">
        <w:rPr>
          <w:b/>
          <w:bCs/>
          <w:i/>
          <w:iCs/>
          <w:sz w:val="20"/>
        </w:rPr>
        <w:t>Ügyirat jellege</w:t>
      </w:r>
      <w:r w:rsidRPr="002A5BE8">
        <w:rPr>
          <w:i/>
          <w:iCs/>
          <w:sz w:val="20"/>
        </w:rPr>
        <w:t>: előterjesztés</w:t>
      </w:r>
    </w:p>
    <w:p w14:paraId="7C089D68" w14:textId="77777777" w:rsidR="00C075D4" w:rsidRPr="002A5BE8" w:rsidRDefault="00C075D4" w:rsidP="00C075D4">
      <w:pPr>
        <w:ind w:left="720" w:hanging="714"/>
        <w:rPr>
          <w:i/>
          <w:iCs/>
          <w:sz w:val="20"/>
        </w:rPr>
      </w:pPr>
      <w:r w:rsidRPr="002A5BE8">
        <w:rPr>
          <w:b/>
          <w:bCs/>
          <w:i/>
          <w:iCs/>
          <w:sz w:val="20"/>
        </w:rPr>
        <w:t>Elfogadásához szükséges szavazati arány</w:t>
      </w:r>
      <w:r w:rsidRPr="002A5BE8">
        <w:rPr>
          <w:i/>
          <w:iCs/>
          <w:sz w:val="20"/>
        </w:rPr>
        <w:t xml:space="preserve">: </w:t>
      </w:r>
      <w:r w:rsidRPr="002A5BE8">
        <w:rPr>
          <w:bCs/>
          <w:i/>
          <w:iCs/>
          <w:sz w:val="20"/>
        </w:rPr>
        <w:t xml:space="preserve">egyszerű </w:t>
      </w:r>
      <w:r w:rsidRPr="002A5BE8">
        <w:rPr>
          <w:i/>
          <w:iCs/>
          <w:sz w:val="20"/>
        </w:rPr>
        <w:t>többség</w:t>
      </w:r>
    </w:p>
    <w:p w14:paraId="718B9816" w14:textId="77777777" w:rsidR="00C075D4" w:rsidRPr="002A5BE8" w:rsidRDefault="00C075D4" w:rsidP="00C075D4">
      <w:pPr>
        <w:tabs>
          <w:tab w:val="center" w:pos="6804"/>
        </w:tabs>
        <w:ind w:left="720" w:hanging="714"/>
        <w:rPr>
          <w:i/>
          <w:iCs/>
          <w:sz w:val="20"/>
        </w:rPr>
      </w:pPr>
      <w:r w:rsidRPr="002A5BE8">
        <w:rPr>
          <w:b/>
          <w:bCs/>
          <w:i/>
          <w:iCs/>
          <w:sz w:val="20"/>
        </w:rPr>
        <w:t>Törvényességi szempontból ellenőrizte</w:t>
      </w:r>
      <w:r w:rsidRPr="002A5BE8">
        <w:rPr>
          <w:i/>
          <w:iCs/>
          <w:sz w:val="20"/>
        </w:rPr>
        <w:t xml:space="preserve">: </w:t>
      </w:r>
      <w:r w:rsidRPr="002A5BE8">
        <w:rPr>
          <w:bCs/>
          <w:i/>
          <w:iCs/>
          <w:sz w:val="20"/>
        </w:rPr>
        <w:t>Dr. Beregszászi Márk jegyző</w:t>
      </w:r>
    </w:p>
    <w:p w14:paraId="13568732" w14:textId="77777777" w:rsidR="00C075D4" w:rsidRPr="002A5BE8" w:rsidRDefault="00C075D4" w:rsidP="00C075D4">
      <w:pPr>
        <w:rPr>
          <w:b/>
          <w:sz w:val="20"/>
        </w:rPr>
      </w:pPr>
    </w:p>
    <w:p w14:paraId="798D3EBC" w14:textId="77777777" w:rsidR="00C075D4" w:rsidRPr="002A5BE8" w:rsidRDefault="00C075D4" w:rsidP="00C075D4">
      <w:pPr>
        <w:jc w:val="both"/>
        <w:rPr>
          <w:i/>
          <w:sz w:val="20"/>
        </w:rPr>
      </w:pPr>
      <w:r w:rsidRPr="002A5BE8">
        <w:rPr>
          <w:b/>
          <w:i/>
          <w:sz w:val="20"/>
          <w:u w:val="single"/>
        </w:rPr>
        <w:t>Tárgy</w:t>
      </w:r>
      <w:r w:rsidRPr="002A5BE8">
        <w:rPr>
          <w:i/>
          <w:sz w:val="20"/>
        </w:rPr>
        <w:t xml:space="preserve">: </w:t>
      </w:r>
      <w:bookmarkStart w:id="0" w:name="_Hlk189814091"/>
      <w:r w:rsidRPr="002A5BE8">
        <w:rPr>
          <w:i/>
          <w:sz w:val="20"/>
        </w:rPr>
        <w:t xml:space="preserve">Solymár Önkormányzata költségvetésének alapelvei - A 2025. évi költségvetés tárgyalása – I. forduló </w:t>
      </w:r>
    </w:p>
    <w:bookmarkEnd w:id="0"/>
    <w:p w14:paraId="798CA03E" w14:textId="77777777" w:rsidR="00BF697A" w:rsidRPr="00302359" w:rsidRDefault="00BF697A" w:rsidP="00BF697A">
      <w:pPr>
        <w:jc w:val="both"/>
        <w:rPr>
          <w:bCs/>
          <w:szCs w:val="24"/>
        </w:rPr>
      </w:pPr>
    </w:p>
    <w:p w14:paraId="22EC53A7" w14:textId="77777777" w:rsidR="00BF697A" w:rsidRPr="00302359" w:rsidRDefault="00BF697A" w:rsidP="00BF697A">
      <w:pPr>
        <w:jc w:val="center"/>
        <w:rPr>
          <w:b/>
          <w:bCs/>
          <w:iCs/>
          <w:szCs w:val="24"/>
        </w:rPr>
      </w:pPr>
      <w:r w:rsidRPr="00302359">
        <w:rPr>
          <w:b/>
          <w:bCs/>
          <w:iCs/>
          <w:szCs w:val="24"/>
        </w:rPr>
        <w:t>Tisztelt Képviselő-testület!</w:t>
      </w:r>
    </w:p>
    <w:p w14:paraId="5F51F213" w14:textId="77777777" w:rsidR="00BF697A" w:rsidRPr="00302359" w:rsidRDefault="00BF697A" w:rsidP="00BF697A">
      <w:pPr>
        <w:jc w:val="center"/>
        <w:rPr>
          <w:b/>
          <w:bCs/>
          <w:iCs/>
          <w:szCs w:val="24"/>
        </w:rPr>
      </w:pPr>
    </w:p>
    <w:p w14:paraId="31CAF8DA" w14:textId="206C8479" w:rsidR="005E4459" w:rsidRPr="002A5BE8" w:rsidRDefault="005E4459" w:rsidP="003A3097">
      <w:pPr>
        <w:jc w:val="both"/>
        <w:rPr>
          <w:sz w:val="22"/>
          <w:szCs w:val="22"/>
        </w:rPr>
      </w:pPr>
      <w:r w:rsidRPr="002A5BE8">
        <w:rPr>
          <w:sz w:val="22"/>
          <w:szCs w:val="22"/>
        </w:rPr>
        <w:t>A képviselő-testület egyik legfontosabb feladata és felelőssége az önkormányzat költségvetésének megalkotása. A jelen előterjesztés célja az eddigi költségvetési gyakorlattal való szembenézés, és olyan elvek lefektetése, melyek valóban egy fenntartható költségvetés kialakítását garantálják.</w:t>
      </w:r>
    </w:p>
    <w:p w14:paraId="5ACA66BF" w14:textId="77777777" w:rsidR="00C743A3" w:rsidRPr="002A5BE8" w:rsidRDefault="00C743A3" w:rsidP="003A3097">
      <w:pPr>
        <w:jc w:val="both"/>
        <w:rPr>
          <w:sz w:val="22"/>
          <w:szCs w:val="22"/>
        </w:rPr>
      </w:pPr>
    </w:p>
    <w:p w14:paraId="50C14A67" w14:textId="144D6D1A" w:rsidR="00C743A3" w:rsidRPr="002A5BE8" w:rsidRDefault="00C743A3" w:rsidP="003A3097">
      <w:pPr>
        <w:jc w:val="both"/>
        <w:rPr>
          <w:sz w:val="22"/>
          <w:szCs w:val="22"/>
        </w:rPr>
      </w:pPr>
      <w:r w:rsidRPr="002A5BE8">
        <w:rPr>
          <w:sz w:val="22"/>
          <w:szCs w:val="22"/>
        </w:rPr>
        <w:t>Az alábbi részletes tájékoztatást a 2025. évi és a későbbi költségek megalapozó és megtartandó alapelveinek szánom, amelyek alapján a költségvetés kimunkálását javaslom.</w:t>
      </w:r>
    </w:p>
    <w:p w14:paraId="06C717C3" w14:textId="77777777" w:rsidR="00C743A3" w:rsidRPr="002A5BE8" w:rsidRDefault="00C743A3" w:rsidP="003A3097">
      <w:pPr>
        <w:jc w:val="both"/>
        <w:rPr>
          <w:sz w:val="22"/>
          <w:szCs w:val="22"/>
        </w:rPr>
      </w:pPr>
    </w:p>
    <w:p w14:paraId="604CB1BE" w14:textId="3F94AA5A" w:rsidR="00C743A3" w:rsidRPr="002A5BE8" w:rsidRDefault="00C743A3" w:rsidP="003A3097">
      <w:pPr>
        <w:jc w:val="both"/>
        <w:rPr>
          <w:b/>
          <w:bCs/>
          <w:sz w:val="22"/>
          <w:szCs w:val="22"/>
        </w:rPr>
      </w:pPr>
      <w:r w:rsidRPr="002A5BE8">
        <w:rPr>
          <w:b/>
          <w:bCs/>
          <w:sz w:val="22"/>
          <w:szCs w:val="22"/>
        </w:rPr>
        <w:t>Az előterjesztés mellékleteként megküldöm a 2025. évi költségvetés „első olvasatát” – az indoklási lapokat, valamint a beruházási táblákat.</w:t>
      </w:r>
    </w:p>
    <w:p w14:paraId="35642A65" w14:textId="77777777" w:rsidR="00845042" w:rsidRPr="002A5BE8" w:rsidRDefault="00845042" w:rsidP="003A3097">
      <w:pPr>
        <w:jc w:val="both"/>
        <w:rPr>
          <w:b/>
          <w:bCs/>
          <w:sz w:val="22"/>
          <w:szCs w:val="22"/>
        </w:rPr>
      </w:pPr>
    </w:p>
    <w:p w14:paraId="06C4BCB2" w14:textId="43C72F1F" w:rsidR="00DC3E12" w:rsidRPr="002A5BE8" w:rsidRDefault="00DC3E12" w:rsidP="00DC3E12">
      <w:pPr>
        <w:jc w:val="both"/>
        <w:rPr>
          <w:sz w:val="22"/>
          <w:szCs w:val="22"/>
        </w:rPr>
      </w:pPr>
      <w:r w:rsidRPr="002A5BE8">
        <w:rPr>
          <w:sz w:val="22"/>
          <w:szCs w:val="22"/>
        </w:rPr>
        <w:t>A költségvetés az intézményvezetőkkel egyeztetés alatt áll, és további pontosítása szükséges.</w:t>
      </w:r>
    </w:p>
    <w:p w14:paraId="17517C1A" w14:textId="77777777" w:rsidR="005E4459" w:rsidRPr="002A5BE8" w:rsidRDefault="005E4459" w:rsidP="003A3097">
      <w:pPr>
        <w:jc w:val="both"/>
        <w:rPr>
          <w:sz w:val="22"/>
          <w:szCs w:val="22"/>
        </w:rPr>
      </w:pPr>
    </w:p>
    <w:p w14:paraId="65951DA4" w14:textId="05EC691D" w:rsidR="005E4459" w:rsidRPr="002A5BE8" w:rsidRDefault="005E4459" w:rsidP="003A3097">
      <w:pPr>
        <w:jc w:val="both"/>
        <w:rPr>
          <w:b/>
          <w:bCs/>
          <w:sz w:val="22"/>
          <w:szCs w:val="22"/>
        </w:rPr>
      </w:pPr>
      <w:r w:rsidRPr="002A5BE8">
        <w:rPr>
          <w:b/>
          <w:bCs/>
          <w:sz w:val="22"/>
          <w:szCs w:val="22"/>
        </w:rPr>
        <w:t>I.1. A korábbi évek költségvetéseinek elvei</w:t>
      </w:r>
    </w:p>
    <w:p w14:paraId="3D09F9DD" w14:textId="77777777" w:rsidR="005E4459" w:rsidRPr="002A5BE8" w:rsidRDefault="005E4459" w:rsidP="003A3097">
      <w:pPr>
        <w:jc w:val="both"/>
        <w:rPr>
          <w:b/>
          <w:bCs/>
          <w:sz w:val="22"/>
          <w:szCs w:val="22"/>
        </w:rPr>
      </w:pPr>
    </w:p>
    <w:p w14:paraId="041B6EDB" w14:textId="44274691" w:rsidR="00CA7CB3" w:rsidRPr="002A5BE8" w:rsidRDefault="00CA7CB3" w:rsidP="003A3097">
      <w:pPr>
        <w:jc w:val="both"/>
        <w:rPr>
          <w:sz w:val="22"/>
          <w:szCs w:val="22"/>
        </w:rPr>
      </w:pPr>
      <w:r w:rsidRPr="002A5BE8">
        <w:rPr>
          <w:sz w:val="22"/>
          <w:szCs w:val="22"/>
        </w:rPr>
        <w:t xml:space="preserve">Solymár Nagyközség önkormányzata ciklusról-ciklusra szem előtt tartja az alábbi </w:t>
      </w:r>
      <w:r w:rsidRPr="002A5BE8">
        <w:rPr>
          <w:i/>
          <w:iCs/>
          <w:sz w:val="22"/>
          <w:szCs w:val="22"/>
        </w:rPr>
        <w:t>célkitűzéseket</w:t>
      </w:r>
      <w:r w:rsidRPr="002A5BE8">
        <w:rPr>
          <w:sz w:val="22"/>
          <w:szCs w:val="22"/>
        </w:rPr>
        <w:t xml:space="preserve"> a költségvetési koncepció, illetve a költségvetése megalkotásának során:</w:t>
      </w:r>
    </w:p>
    <w:p w14:paraId="5F78280B" w14:textId="77777777" w:rsidR="00CA7CB3" w:rsidRPr="002A5BE8" w:rsidRDefault="00CA7CB3" w:rsidP="00BF697A">
      <w:pPr>
        <w:rPr>
          <w:sz w:val="22"/>
          <w:szCs w:val="22"/>
        </w:rPr>
      </w:pPr>
    </w:p>
    <w:p w14:paraId="348388C6" w14:textId="77777777" w:rsidR="00CA7CB3" w:rsidRPr="002A5BE8" w:rsidRDefault="00CA7CB3" w:rsidP="00CA7CB3">
      <w:pPr>
        <w:numPr>
          <w:ilvl w:val="0"/>
          <w:numId w:val="8"/>
        </w:numPr>
        <w:suppressAutoHyphens w:val="0"/>
        <w:overflowPunct/>
        <w:autoSpaceDE/>
        <w:ind w:left="284" w:hanging="284"/>
        <w:jc w:val="both"/>
        <w:rPr>
          <w:sz w:val="22"/>
          <w:szCs w:val="22"/>
        </w:rPr>
      </w:pPr>
      <w:r w:rsidRPr="002A5BE8">
        <w:rPr>
          <w:b/>
          <w:bCs/>
          <w:sz w:val="22"/>
          <w:szCs w:val="22"/>
        </w:rPr>
        <w:t>Kiegyensúlyozott</w:t>
      </w:r>
      <w:r w:rsidRPr="002A5BE8">
        <w:rPr>
          <w:sz w:val="22"/>
          <w:szCs w:val="22"/>
        </w:rPr>
        <w:t xml:space="preserve"> gazdálkodás biztosítása;</w:t>
      </w:r>
    </w:p>
    <w:p w14:paraId="3522E4A1" w14:textId="77777777" w:rsidR="00CA7CB3" w:rsidRPr="002A5BE8" w:rsidRDefault="00CA7CB3" w:rsidP="00CA7CB3">
      <w:pPr>
        <w:numPr>
          <w:ilvl w:val="0"/>
          <w:numId w:val="8"/>
        </w:numPr>
        <w:suppressAutoHyphens w:val="0"/>
        <w:overflowPunct/>
        <w:autoSpaceDE/>
        <w:ind w:left="284" w:hanging="284"/>
        <w:jc w:val="both"/>
        <w:rPr>
          <w:sz w:val="22"/>
          <w:szCs w:val="22"/>
        </w:rPr>
      </w:pPr>
      <w:r w:rsidRPr="002A5BE8">
        <w:rPr>
          <w:sz w:val="22"/>
          <w:szCs w:val="22"/>
        </w:rPr>
        <w:t>Az Mötv-ben meghatározott kötelező önkormányzati feladatok ellátása, az önkormányzat működőképességének biztosítása;</w:t>
      </w:r>
    </w:p>
    <w:p w14:paraId="16A9C005" w14:textId="77777777" w:rsidR="00CA7CB3" w:rsidRPr="002A5BE8" w:rsidRDefault="00CA7CB3" w:rsidP="00CA7CB3">
      <w:pPr>
        <w:numPr>
          <w:ilvl w:val="0"/>
          <w:numId w:val="8"/>
        </w:numPr>
        <w:suppressAutoHyphens w:val="0"/>
        <w:overflowPunct/>
        <w:autoSpaceDE/>
        <w:ind w:left="284" w:hanging="284"/>
        <w:jc w:val="both"/>
        <w:rPr>
          <w:sz w:val="22"/>
          <w:szCs w:val="22"/>
        </w:rPr>
      </w:pPr>
      <w:r w:rsidRPr="002A5BE8">
        <w:rPr>
          <w:sz w:val="22"/>
          <w:szCs w:val="22"/>
        </w:rPr>
        <w:t xml:space="preserve">Önként vállalt feladatok csak akkor és úgy tervezhetőek, ha annak ellátása nem veszélyezteti a kötelező feladatok ellátását, illetve </w:t>
      </w:r>
      <w:r w:rsidRPr="002A5BE8">
        <w:rPr>
          <w:b/>
          <w:bCs/>
          <w:sz w:val="22"/>
          <w:szCs w:val="22"/>
        </w:rPr>
        <w:t>pénzügyi fedezete az önkormányzat saját bevételeiből megteremthető</w:t>
      </w:r>
      <w:r w:rsidRPr="002A5BE8">
        <w:rPr>
          <w:sz w:val="22"/>
          <w:szCs w:val="22"/>
        </w:rPr>
        <w:t>;</w:t>
      </w:r>
    </w:p>
    <w:p w14:paraId="093836E4" w14:textId="77777777" w:rsidR="00CA7CB3" w:rsidRPr="002A5BE8" w:rsidRDefault="00CA7CB3" w:rsidP="00CA7CB3">
      <w:pPr>
        <w:numPr>
          <w:ilvl w:val="0"/>
          <w:numId w:val="8"/>
        </w:numPr>
        <w:suppressAutoHyphens w:val="0"/>
        <w:overflowPunct/>
        <w:autoSpaceDE/>
        <w:ind w:left="284" w:hanging="284"/>
        <w:jc w:val="both"/>
        <w:rPr>
          <w:sz w:val="22"/>
          <w:szCs w:val="22"/>
        </w:rPr>
      </w:pPr>
      <w:r w:rsidRPr="002A5BE8">
        <w:rPr>
          <w:sz w:val="22"/>
          <w:szCs w:val="22"/>
        </w:rPr>
        <w:t>Valamennyi közszolgáltatás színvonalának megőrzése;</w:t>
      </w:r>
    </w:p>
    <w:p w14:paraId="4C9E8FB6" w14:textId="77777777" w:rsidR="00CA7CB3" w:rsidRPr="002A5BE8" w:rsidRDefault="00CA7CB3" w:rsidP="00CA7CB3">
      <w:pPr>
        <w:numPr>
          <w:ilvl w:val="0"/>
          <w:numId w:val="8"/>
        </w:numPr>
        <w:suppressAutoHyphens w:val="0"/>
        <w:overflowPunct/>
        <w:autoSpaceDE/>
        <w:ind w:left="284" w:hanging="284"/>
        <w:jc w:val="both"/>
        <w:rPr>
          <w:sz w:val="22"/>
          <w:szCs w:val="22"/>
        </w:rPr>
      </w:pPr>
      <w:r w:rsidRPr="002A5BE8">
        <w:rPr>
          <w:sz w:val="22"/>
          <w:szCs w:val="22"/>
        </w:rPr>
        <w:t xml:space="preserve">A bevételi források feltárása és a bevételi lehetőségek maximális kiaknázása, </w:t>
      </w:r>
      <w:r w:rsidRPr="002A5BE8">
        <w:rPr>
          <w:b/>
          <w:bCs/>
          <w:sz w:val="22"/>
          <w:szCs w:val="22"/>
        </w:rPr>
        <w:t>kiadási oldalon a feladatok hatékony, gazdaságosabb megoldása</w:t>
      </w:r>
      <w:r w:rsidRPr="002A5BE8">
        <w:rPr>
          <w:sz w:val="22"/>
          <w:szCs w:val="22"/>
        </w:rPr>
        <w:t>, azaz a pénz és anyagi eszközök célszerű felhasználása;</w:t>
      </w:r>
    </w:p>
    <w:p w14:paraId="1E0FB608" w14:textId="517B4C98" w:rsidR="00CA7CB3" w:rsidRPr="002A5BE8" w:rsidRDefault="00CA7CB3" w:rsidP="00BF697A">
      <w:pPr>
        <w:numPr>
          <w:ilvl w:val="0"/>
          <w:numId w:val="8"/>
        </w:numPr>
        <w:suppressAutoHyphens w:val="0"/>
        <w:overflowPunct/>
        <w:autoSpaceDE/>
        <w:ind w:left="284" w:hanging="284"/>
        <w:jc w:val="both"/>
        <w:rPr>
          <w:sz w:val="22"/>
          <w:szCs w:val="22"/>
        </w:rPr>
      </w:pPr>
      <w:r w:rsidRPr="002A5BE8">
        <w:rPr>
          <w:sz w:val="22"/>
          <w:szCs w:val="22"/>
        </w:rPr>
        <w:t>Továbbá a rendelkezésre álló vagyon megfelelő hasznosítása és annak lehetőség szerinti növelése.</w:t>
      </w:r>
    </w:p>
    <w:p w14:paraId="7638B576" w14:textId="77777777" w:rsidR="00CA7CB3" w:rsidRPr="002A5BE8" w:rsidRDefault="00CA7CB3" w:rsidP="00CA7CB3">
      <w:pPr>
        <w:suppressAutoHyphens w:val="0"/>
        <w:overflowPunct/>
        <w:autoSpaceDE/>
        <w:jc w:val="both"/>
        <w:rPr>
          <w:sz w:val="22"/>
          <w:szCs w:val="22"/>
        </w:rPr>
      </w:pPr>
    </w:p>
    <w:p w14:paraId="3F088332" w14:textId="22EB5FF8" w:rsidR="00CA7CB3" w:rsidRPr="002A5BE8" w:rsidRDefault="00CA7CB3" w:rsidP="00CA7CB3">
      <w:pPr>
        <w:suppressAutoHyphens w:val="0"/>
        <w:overflowPunct/>
        <w:autoSpaceDE/>
        <w:jc w:val="both"/>
        <w:rPr>
          <w:sz w:val="22"/>
          <w:szCs w:val="22"/>
        </w:rPr>
      </w:pPr>
      <w:r w:rsidRPr="002A5BE8">
        <w:rPr>
          <w:sz w:val="22"/>
          <w:szCs w:val="22"/>
        </w:rPr>
        <w:t xml:space="preserve">A költségvetés készítésének </w:t>
      </w:r>
      <w:r w:rsidRPr="002A5BE8">
        <w:rPr>
          <w:i/>
          <w:iCs/>
          <w:sz w:val="22"/>
          <w:szCs w:val="22"/>
        </w:rPr>
        <w:t>irányelvei</w:t>
      </w:r>
      <w:r w:rsidRPr="002A5BE8">
        <w:rPr>
          <w:sz w:val="22"/>
          <w:szCs w:val="22"/>
        </w:rPr>
        <w:t xml:space="preserve"> közül fel kívánom hívni a figyelmet az alábbi pontra:</w:t>
      </w:r>
    </w:p>
    <w:p w14:paraId="76461874" w14:textId="77777777" w:rsidR="00CA7CB3" w:rsidRPr="002A5BE8" w:rsidRDefault="00CA7CB3" w:rsidP="00CA7CB3">
      <w:pPr>
        <w:suppressAutoHyphens w:val="0"/>
        <w:overflowPunct/>
        <w:autoSpaceDE/>
        <w:jc w:val="both"/>
        <w:rPr>
          <w:sz w:val="22"/>
          <w:szCs w:val="22"/>
        </w:rPr>
      </w:pPr>
    </w:p>
    <w:p w14:paraId="7D7BC79C" w14:textId="177FADBC" w:rsidR="00CA7CB3" w:rsidRPr="002A5BE8" w:rsidRDefault="00CA7CB3" w:rsidP="00CA7CB3">
      <w:pPr>
        <w:suppressAutoHyphens w:val="0"/>
        <w:overflowPunct/>
        <w:autoSpaceDE/>
        <w:jc w:val="both"/>
        <w:rPr>
          <w:sz w:val="22"/>
          <w:szCs w:val="22"/>
        </w:rPr>
      </w:pPr>
      <w:r w:rsidRPr="002A5BE8">
        <w:rPr>
          <w:sz w:val="22"/>
          <w:szCs w:val="22"/>
        </w:rPr>
        <w:t xml:space="preserve">d) Az önkormányzat 2024. évi költségvetési kiadásait a képződő költségvetési bevételekkel egyező összegben kell meghatározni, </w:t>
      </w:r>
      <w:r w:rsidRPr="002A5BE8">
        <w:rPr>
          <w:b/>
          <w:bCs/>
          <w:sz w:val="22"/>
          <w:szCs w:val="22"/>
        </w:rPr>
        <w:t>költségvetési hiány nem tervezhető</w:t>
      </w:r>
      <w:r w:rsidRPr="002A5BE8">
        <w:rPr>
          <w:sz w:val="22"/>
          <w:szCs w:val="22"/>
        </w:rPr>
        <w:t>.</w:t>
      </w:r>
    </w:p>
    <w:p w14:paraId="571D472C" w14:textId="77777777" w:rsidR="00CA7CB3" w:rsidRPr="002A5BE8" w:rsidRDefault="00CA7CB3" w:rsidP="00CA7CB3">
      <w:pPr>
        <w:suppressAutoHyphens w:val="0"/>
        <w:overflowPunct/>
        <w:autoSpaceDE/>
        <w:jc w:val="both"/>
        <w:rPr>
          <w:sz w:val="22"/>
          <w:szCs w:val="22"/>
        </w:rPr>
      </w:pPr>
    </w:p>
    <w:p w14:paraId="7E72812C" w14:textId="4F90BEA0" w:rsidR="001574E0" w:rsidRPr="002A5BE8" w:rsidRDefault="005E4459" w:rsidP="00CA7CB3">
      <w:pPr>
        <w:suppressAutoHyphens w:val="0"/>
        <w:overflowPunct/>
        <w:autoSpaceDE/>
        <w:jc w:val="both"/>
        <w:rPr>
          <w:b/>
          <w:bCs/>
          <w:sz w:val="22"/>
          <w:szCs w:val="22"/>
        </w:rPr>
      </w:pPr>
      <w:r w:rsidRPr="002A5BE8">
        <w:rPr>
          <w:b/>
          <w:bCs/>
          <w:sz w:val="22"/>
          <w:szCs w:val="22"/>
        </w:rPr>
        <w:lastRenderedPageBreak/>
        <w:t>I.2</w:t>
      </w:r>
      <w:r w:rsidR="001574E0" w:rsidRPr="002A5BE8">
        <w:rPr>
          <w:b/>
          <w:bCs/>
          <w:sz w:val="22"/>
          <w:szCs w:val="22"/>
        </w:rPr>
        <w:t>. A „nem működési” bevételek felhasználása</w:t>
      </w:r>
      <w:r w:rsidRPr="002A5BE8">
        <w:rPr>
          <w:b/>
          <w:bCs/>
          <w:sz w:val="22"/>
          <w:szCs w:val="22"/>
        </w:rPr>
        <w:t xml:space="preserve"> a korábbi években</w:t>
      </w:r>
    </w:p>
    <w:p w14:paraId="6E1B9538" w14:textId="77777777" w:rsidR="001574E0" w:rsidRPr="002A5BE8" w:rsidRDefault="001574E0" w:rsidP="00CA7CB3">
      <w:pPr>
        <w:suppressAutoHyphens w:val="0"/>
        <w:overflowPunct/>
        <w:autoSpaceDE/>
        <w:jc w:val="both"/>
        <w:rPr>
          <w:b/>
          <w:bCs/>
          <w:sz w:val="22"/>
          <w:szCs w:val="22"/>
        </w:rPr>
      </w:pPr>
    </w:p>
    <w:p w14:paraId="4E56C774" w14:textId="7DBF4248" w:rsidR="003A3097" w:rsidRPr="002A5BE8" w:rsidRDefault="00302359" w:rsidP="00CA7CB3">
      <w:pPr>
        <w:suppressAutoHyphens w:val="0"/>
        <w:overflowPunct/>
        <w:autoSpaceDE/>
        <w:jc w:val="both"/>
        <w:rPr>
          <w:sz w:val="22"/>
          <w:szCs w:val="22"/>
        </w:rPr>
      </w:pPr>
      <w:r w:rsidRPr="002A5BE8">
        <w:rPr>
          <w:sz w:val="22"/>
          <w:szCs w:val="22"/>
        </w:rPr>
        <w:t>Az utóbbi években, és különösen a 2024</w:t>
      </w:r>
      <w:r w:rsidR="00C075D4" w:rsidRPr="002A5BE8">
        <w:rPr>
          <w:sz w:val="22"/>
          <w:szCs w:val="22"/>
        </w:rPr>
        <w:t>.</w:t>
      </w:r>
      <w:r w:rsidRPr="002A5BE8">
        <w:rPr>
          <w:sz w:val="22"/>
          <w:szCs w:val="22"/>
        </w:rPr>
        <w:t xml:space="preserve"> évben olyan folyamatok kaptak teret a költségvetés megalkotásában és annak végrehajtásában, melyek – távlatilag tekintve – sértették a fenti elveket. E negatív folyamatokat leginkább az alábbi táblázat számainak értelmezésével lehet érzékelni.</w:t>
      </w:r>
    </w:p>
    <w:p w14:paraId="7C4550A4" w14:textId="77777777" w:rsidR="003A3097" w:rsidRPr="002A5BE8" w:rsidRDefault="003A3097" w:rsidP="00CA7CB3">
      <w:pPr>
        <w:suppressAutoHyphens w:val="0"/>
        <w:overflowPunct/>
        <w:autoSpaceDE/>
        <w:jc w:val="both"/>
        <w:rPr>
          <w:sz w:val="22"/>
          <w:szCs w:val="22"/>
        </w:rPr>
      </w:pPr>
    </w:p>
    <w:tbl>
      <w:tblPr>
        <w:tblW w:w="8359" w:type="dxa"/>
        <w:tblInd w:w="75" w:type="dxa"/>
        <w:tblCellMar>
          <w:left w:w="70" w:type="dxa"/>
          <w:right w:w="70" w:type="dxa"/>
        </w:tblCellMar>
        <w:tblLook w:val="04A0" w:firstRow="1" w:lastRow="0" w:firstColumn="1" w:lastColumn="0" w:noHBand="0" w:noVBand="1"/>
      </w:tblPr>
      <w:tblGrid>
        <w:gridCol w:w="988"/>
        <w:gridCol w:w="2551"/>
        <w:gridCol w:w="1701"/>
        <w:gridCol w:w="1559"/>
        <w:gridCol w:w="1560"/>
      </w:tblGrid>
      <w:tr w:rsidR="001574E0" w:rsidRPr="002A5BE8" w14:paraId="2964A418" w14:textId="77777777" w:rsidTr="001574E0">
        <w:trPr>
          <w:trHeight w:val="288"/>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59C1D" w14:textId="77777777" w:rsidR="001574E0" w:rsidRPr="002A5BE8" w:rsidRDefault="001574E0" w:rsidP="00302359">
            <w:pPr>
              <w:suppressAutoHyphens w:val="0"/>
              <w:overflowPunct/>
              <w:autoSpaceDE/>
              <w:jc w:val="center"/>
              <w:rPr>
                <w:b/>
                <w:bCs/>
                <w:color w:val="000000"/>
                <w:sz w:val="22"/>
                <w:szCs w:val="22"/>
                <w:lang w:eastAsia="hu-HU"/>
              </w:rPr>
            </w:pPr>
            <w:r w:rsidRPr="002A5BE8">
              <w:rPr>
                <w:b/>
                <w:bCs/>
                <w:color w:val="000000"/>
                <w:sz w:val="22"/>
                <w:szCs w:val="22"/>
                <w:lang w:eastAsia="hu-HU"/>
              </w:rPr>
              <w:t> </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29630171" w14:textId="77777777" w:rsidR="001574E0" w:rsidRPr="002A5BE8" w:rsidRDefault="001574E0" w:rsidP="00302359">
            <w:pPr>
              <w:suppressAutoHyphens w:val="0"/>
              <w:overflowPunct/>
              <w:autoSpaceDE/>
              <w:jc w:val="center"/>
              <w:rPr>
                <w:b/>
                <w:bCs/>
                <w:color w:val="000000"/>
                <w:sz w:val="22"/>
                <w:szCs w:val="22"/>
                <w:lang w:eastAsia="hu-HU"/>
              </w:rPr>
            </w:pPr>
            <w:r w:rsidRPr="002A5BE8">
              <w:rPr>
                <w:b/>
                <w:bCs/>
                <w:color w:val="000000"/>
                <w:sz w:val="22"/>
                <w:szCs w:val="22"/>
                <w:lang w:eastAsia="hu-H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63B1E05" w14:textId="213BFA99" w:rsidR="001574E0" w:rsidRPr="002A5BE8" w:rsidRDefault="001574E0" w:rsidP="00302359">
            <w:pPr>
              <w:suppressAutoHyphens w:val="0"/>
              <w:overflowPunct/>
              <w:autoSpaceDE/>
              <w:jc w:val="center"/>
              <w:rPr>
                <w:b/>
                <w:bCs/>
                <w:color w:val="000000"/>
                <w:sz w:val="22"/>
                <w:szCs w:val="22"/>
                <w:lang w:eastAsia="hu-HU"/>
              </w:rPr>
            </w:pPr>
            <w:r w:rsidRPr="002A5BE8">
              <w:rPr>
                <w:b/>
                <w:bCs/>
                <w:color w:val="000000"/>
                <w:sz w:val="22"/>
                <w:szCs w:val="22"/>
                <w:lang w:eastAsia="hu-HU"/>
              </w:rPr>
              <w:t>2022</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4FB9B15" w14:textId="6039B75B" w:rsidR="001574E0" w:rsidRPr="002A5BE8" w:rsidRDefault="001574E0" w:rsidP="00302359">
            <w:pPr>
              <w:suppressAutoHyphens w:val="0"/>
              <w:overflowPunct/>
              <w:autoSpaceDE/>
              <w:jc w:val="center"/>
              <w:rPr>
                <w:b/>
                <w:bCs/>
                <w:color w:val="000000"/>
                <w:sz w:val="22"/>
                <w:szCs w:val="22"/>
                <w:lang w:eastAsia="hu-HU"/>
              </w:rPr>
            </w:pPr>
            <w:r w:rsidRPr="002A5BE8">
              <w:rPr>
                <w:b/>
                <w:bCs/>
                <w:color w:val="000000"/>
                <w:sz w:val="22"/>
                <w:szCs w:val="22"/>
                <w:lang w:eastAsia="hu-HU"/>
              </w:rPr>
              <w:t>2023</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379325F" w14:textId="56F06AB0" w:rsidR="001574E0" w:rsidRPr="002A5BE8" w:rsidRDefault="001574E0" w:rsidP="00302359">
            <w:pPr>
              <w:suppressAutoHyphens w:val="0"/>
              <w:overflowPunct/>
              <w:autoSpaceDE/>
              <w:jc w:val="center"/>
              <w:rPr>
                <w:b/>
                <w:bCs/>
                <w:color w:val="000000"/>
                <w:sz w:val="22"/>
                <w:szCs w:val="22"/>
                <w:lang w:eastAsia="hu-HU"/>
              </w:rPr>
            </w:pPr>
            <w:r w:rsidRPr="002A5BE8">
              <w:rPr>
                <w:b/>
                <w:bCs/>
                <w:color w:val="000000"/>
                <w:sz w:val="22"/>
                <w:szCs w:val="22"/>
                <w:lang w:eastAsia="hu-HU"/>
              </w:rPr>
              <w:t>2024</w:t>
            </w:r>
          </w:p>
        </w:tc>
      </w:tr>
      <w:tr w:rsidR="001574E0" w:rsidRPr="002A5BE8" w14:paraId="41205EFE"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14F807E9"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K513</w:t>
            </w:r>
          </w:p>
        </w:tc>
        <w:tc>
          <w:tcPr>
            <w:tcW w:w="2551" w:type="dxa"/>
            <w:tcBorders>
              <w:top w:val="nil"/>
              <w:left w:val="nil"/>
              <w:bottom w:val="single" w:sz="4" w:space="0" w:color="auto"/>
              <w:right w:val="single" w:sz="4" w:space="0" w:color="auto"/>
            </w:tcBorders>
            <w:shd w:val="clear" w:color="auto" w:fill="auto"/>
            <w:noWrap/>
            <w:vAlign w:val="bottom"/>
            <w:hideMark/>
          </w:tcPr>
          <w:p w14:paraId="0A542B4C"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Tartalékok</w:t>
            </w:r>
          </w:p>
        </w:tc>
        <w:tc>
          <w:tcPr>
            <w:tcW w:w="1701" w:type="dxa"/>
            <w:tcBorders>
              <w:top w:val="nil"/>
              <w:left w:val="nil"/>
              <w:bottom w:val="single" w:sz="4" w:space="0" w:color="auto"/>
              <w:right w:val="single" w:sz="4" w:space="0" w:color="auto"/>
            </w:tcBorders>
            <w:shd w:val="clear" w:color="auto" w:fill="auto"/>
            <w:noWrap/>
            <w:vAlign w:val="bottom"/>
            <w:hideMark/>
          </w:tcPr>
          <w:p w14:paraId="5A0DB82F" w14:textId="15097F93"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60 796 176</w:t>
            </w:r>
          </w:p>
        </w:tc>
        <w:tc>
          <w:tcPr>
            <w:tcW w:w="1559" w:type="dxa"/>
            <w:tcBorders>
              <w:top w:val="nil"/>
              <w:left w:val="nil"/>
              <w:bottom w:val="single" w:sz="4" w:space="0" w:color="auto"/>
              <w:right w:val="single" w:sz="4" w:space="0" w:color="auto"/>
            </w:tcBorders>
            <w:shd w:val="clear" w:color="auto" w:fill="auto"/>
            <w:noWrap/>
            <w:vAlign w:val="bottom"/>
            <w:hideMark/>
          </w:tcPr>
          <w:p w14:paraId="5B5FB80B" w14:textId="286FE287"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441 713 712</w:t>
            </w:r>
          </w:p>
        </w:tc>
        <w:tc>
          <w:tcPr>
            <w:tcW w:w="1560" w:type="dxa"/>
            <w:tcBorders>
              <w:top w:val="nil"/>
              <w:left w:val="nil"/>
              <w:bottom w:val="single" w:sz="4" w:space="0" w:color="auto"/>
              <w:right w:val="single" w:sz="4" w:space="0" w:color="auto"/>
            </w:tcBorders>
            <w:shd w:val="clear" w:color="auto" w:fill="auto"/>
            <w:noWrap/>
            <w:vAlign w:val="bottom"/>
            <w:hideMark/>
          </w:tcPr>
          <w:p w14:paraId="02245717" w14:textId="67520A64"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165 495 509</w:t>
            </w:r>
          </w:p>
        </w:tc>
      </w:tr>
      <w:tr w:rsidR="001574E0" w:rsidRPr="002A5BE8" w14:paraId="2A8F8EC4"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11E917C2" w14:textId="7A2A1734"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K6 össz.</w:t>
            </w:r>
          </w:p>
        </w:tc>
        <w:tc>
          <w:tcPr>
            <w:tcW w:w="2551" w:type="dxa"/>
            <w:tcBorders>
              <w:top w:val="nil"/>
              <w:left w:val="nil"/>
              <w:bottom w:val="single" w:sz="4" w:space="0" w:color="auto"/>
              <w:right w:val="single" w:sz="4" w:space="0" w:color="auto"/>
            </w:tcBorders>
            <w:shd w:val="clear" w:color="auto" w:fill="auto"/>
            <w:noWrap/>
            <w:vAlign w:val="bottom"/>
            <w:hideMark/>
          </w:tcPr>
          <w:p w14:paraId="36412D04"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Beruházások</w:t>
            </w:r>
          </w:p>
        </w:tc>
        <w:tc>
          <w:tcPr>
            <w:tcW w:w="1701" w:type="dxa"/>
            <w:tcBorders>
              <w:top w:val="nil"/>
              <w:left w:val="nil"/>
              <w:bottom w:val="single" w:sz="4" w:space="0" w:color="auto"/>
              <w:right w:val="single" w:sz="4" w:space="0" w:color="auto"/>
            </w:tcBorders>
            <w:shd w:val="clear" w:color="auto" w:fill="auto"/>
            <w:noWrap/>
            <w:vAlign w:val="bottom"/>
            <w:hideMark/>
          </w:tcPr>
          <w:p w14:paraId="7D68CD7D" w14:textId="3EA2C591"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396 864 874</w:t>
            </w:r>
          </w:p>
        </w:tc>
        <w:tc>
          <w:tcPr>
            <w:tcW w:w="1559" w:type="dxa"/>
            <w:tcBorders>
              <w:top w:val="nil"/>
              <w:left w:val="nil"/>
              <w:bottom w:val="single" w:sz="4" w:space="0" w:color="auto"/>
              <w:right w:val="single" w:sz="4" w:space="0" w:color="auto"/>
            </w:tcBorders>
            <w:shd w:val="clear" w:color="auto" w:fill="auto"/>
            <w:noWrap/>
            <w:vAlign w:val="bottom"/>
            <w:hideMark/>
          </w:tcPr>
          <w:p w14:paraId="38A028D9" w14:textId="05822345"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56 364 902</w:t>
            </w:r>
          </w:p>
        </w:tc>
        <w:tc>
          <w:tcPr>
            <w:tcW w:w="1560" w:type="dxa"/>
            <w:tcBorders>
              <w:top w:val="nil"/>
              <w:left w:val="nil"/>
              <w:bottom w:val="single" w:sz="4" w:space="0" w:color="auto"/>
              <w:right w:val="single" w:sz="4" w:space="0" w:color="auto"/>
            </w:tcBorders>
            <w:shd w:val="clear" w:color="auto" w:fill="auto"/>
            <w:noWrap/>
            <w:vAlign w:val="bottom"/>
            <w:hideMark/>
          </w:tcPr>
          <w:p w14:paraId="734BF129" w14:textId="6C8FCE81"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57 410 497</w:t>
            </w:r>
          </w:p>
        </w:tc>
      </w:tr>
      <w:tr w:rsidR="001574E0" w:rsidRPr="002A5BE8" w14:paraId="6221ACF4"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064B916" w14:textId="4D68F310"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K7 össz.</w:t>
            </w:r>
          </w:p>
        </w:tc>
        <w:tc>
          <w:tcPr>
            <w:tcW w:w="2551" w:type="dxa"/>
            <w:tcBorders>
              <w:top w:val="nil"/>
              <w:left w:val="nil"/>
              <w:bottom w:val="single" w:sz="4" w:space="0" w:color="auto"/>
              <w:right w:val="single" w:sz="4" w:space="0" w:color="auto"/>
            </w:tcBorders>
            <w:shd w:val="clear" w:color="auto" w:fill="auto"/>
            <w:vAlign w:val="bottom"/>
            <w:hideMark/>
          </w:tcPr>
          <w:p w14:paraId="131D7090"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Felújítások</w:t>
            </w:r>
          </w:p>
        </w:tc>
        <w:tc>
          <w:tcPr>
            <w:tcW w:w="1701" w:type="dxa"/>
            <w:tcBorders>
              <w:top w:val="nil"/>
              <w:left w:val="nil"/>
              <w:bottom w:val="single" w:sz="4" w:space="0" w:color="auto"/>
              <w:right w:val="single" w:sz="4" w:space="0" w:color="auto"/>
            </w:tcBorders>
            <w:shd w:val="clear" w:color="auto" w:fill="auto"/>
            <w:noWrap/>
            <w:vAlign w:val="bottom"/>
            <w:hideMark/>
          </w:tcPr>
          <w:p w14:paraId="6B74098B" w14:textId="57E1B12B"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168 060 809</w:t>
            </w:r>
          </w:p>
        </w:tc>
        <w:tc>
          <w:tcPr>
            <w:tcW w:w="1559" w:type="dxa"/>
            <w:tcBorders>
              <w:top w:val="nil"/>
              <w:left w:val="nil"/>
              <w:bottom w:val="single" w:sz="4" w:space="0" w:color="auto"/>
              <w:right w:val="single" w:sz="4" w:space="0" w:color="auto"/>
            </w:tcBorders>
            <w:shd w:val="clear" w:color="auto" w:fill="auto"/>
            <w:noWrap/>
            <w:vAlign w:val="bottom"/>
            <w:hideMark/>
          </w:tcPr>
          <w:p w14:paraId="5D9F1367" w14:textId="0856AE45"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275 654 000</w:t>
            </w:r>
          </w:p>
        </w:tc>
        <w:tc>
          <w:tcPr>
            <w:tcW w:w="1560" w:type="dxa"/>
            <w:tcBorders>
              <w:top w:val="nil"/>
              <w:left w:val="nil"/>
              <w:bottom w:val="single" w:sz="4" w:space="0" w:color="auto"/>
              <w:right w:val="single" w:sz="4" w:space="0" w:color="auto"/>
            </w:tcBorders>
            <w:shd w:val="clear" w:color="auto" w:fill="auto"/>
            <w:noWrap/>
            <w:vAlign w:val="bottom"/>
            <w:hideMark/>
          </w:tcPr>
          <w:p w14:paraId="3AB844A3" w14:textId="006832E9"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24 638 000</w:t>
            </w:r>
          </w:p>
        </w:tc>
      </w:tr>
      <w:tr w:rsidR="001574E0" w:rsidRPr="002A5BE8" w14:paraId="34DDA00D"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40F4F40B"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 </w:t>
            </w:r>
          </w:p>
        </w:tc>
        <w:tc>
          <w:tcPr>
            <w:tcW w:w="2551" w:type="dxa"/>
            <w:tcBorders>
              <w:top w:val="nil"/>
              <w:left w:val="nil"/>
              <w:bottom w:val="single" w:sz="4" w:space="0" w:color="auto"/>
              <w:right w:val="single" w:sz="4" w:space="0" w:color="auto"/>
            </w:tcBorders>
            <w:shd w:val="clear" w:color="auto" w:fill="auto"/>
            <w:vAlign w:val="bottom"/>
            <w:hideMark/>
          </w:tcPr>
          <w:p w14:paraId="104316F3"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Összesen</w:t>
            </w:r>
          </w:p>
        </w:tc>
        <w:tc>
          <w:tcPr>
            <w:tcW w:w="1701" w:type="dxa"/>
            <w:tcBorders>
              <w:top w:val="nil"/>
              <w:left w:val="nil"/>
              <w:bottom w:val="single" w:sz="4" w:space="0" w:color="auto"/>
              <w:right w:val="single" w:sz="4" w:space="0" w:color="auto"/>
            </w:tcBorders>
            <w:shd w:val="clear" w:color="auto" w:fill="auto"/>
            <w:noWrap/>
            <w:vAlign w:val="bottom"/>
            <w:hideMark/>
          </w:tcPr>
          <w:p w14:paraId="78D430A8" w14:textId="17FB90EA"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625 721 859</w:t>
            </w:r>
          </w:p>
        </w:tc>
        <w:tc>
          <w:tcPr>
            <w:tcW w:w="1559" w:type="dxa"/>
            <w:tcBorders>
              <w:top w:val="nil"/>
              <w:left w:val="nil"/>
              <w:bottom w:val="single" w:sz="4" w:space="0" w:color="auto"/>
              <w:right w:val="single" w:sz="4" w:space="0" w:color="auto"/>
            </w:tcBorders>
            <w:shd w:val="clear" w:color="auto" w:fill="auto"/>
            <w:noWrap/>
            <w:vAlign w:val="bottom"/>
            <w:hideMark/>
          </w:tcPr>
          <w:p w14:paraId="7F5B88B3" w14:textId="28F31FCD"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773 732 614</w:t>
            </w:r>
          </w:p>
        </w:tc>
        <w:tc>
          <w:tcPr>
            <w:tcW w:w="1560" w:type="dxa"/>
            <w:tcBorders>
              <w:top w:val="nil"/>
              <w:left w:val="nil"/>
              <w:bottom w:val="single" w:sz="4" w:space="0" w:color="auto"/>
              <w:right w:val="single" w:sz="4" w:space="0" w:color="auto"/>
            </w:tcBorders>
            <w:shd w:val="clear" w:color="auto" w:fill="auto"/>
            <w:noWrap/>
            <w:vAlign w:val="bottom"/>
            <w:hideMark/>
          </w:tcPr>
          <w:p w14:paraId="75983BFA" w14:textId="1217B732"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247 544 006</w:t>
            </w:r>
          </w:p>
        </w:tc>
      </w:tr>
      <w:tr w:rsidR="001574E0" w:rsidRPr="002A5BE8" w14:paraId="5C7E981D" w14:textId="77777777" w:rsidTr="001574E0">
        <w:trPr>
          <w:trHeight w:val="288"/>
        </w:trPr>
        <w:tc>
          <w:tcPr>
            <w:tcW w:w="988" w:type="dxa"/>
            <w:tcBorders>
              <w:top w:val="nil"/>
              <w:left w:val="nil"/>
              <w:bottom w:val="nil"/>
              <w:right w:val="nil"/>
            </w:tcBorders>
            <w:shd w:val="clear" w:color="auto" w:fill="auto"/>
            <w:noWrap/>
            <w:vAlign w:val="bottom"/>
            <w:hideMark/>
          </w:tcPr>
          <w:p w14:paraId="3551E79E" w14:textId="77777777" w:rsidR="001574E0" w:rsidRPr="002A5BE8" w:rsidRDefault="001574E0" w:rsidP="00302359">
            <w:pPr>
              <w:suppressAutoHyphens w:val="0"/>
              <w:overflowPunct/>
              <w:autoSpaceDE/>
              <w:jc w:val="right"/>
              <w:rPr>
                <w:b/>
                <w:bCs/>
                <w:color w:val="000000"/>
                <w:sz w:val="22"/>
                <w:szCs w:val="22"/>
                <w:lang w:eastAsia="hu-HU"/>
              </w:rPr>
            </w:pPr>
          </w:p>
        </w:tc>
        <w:tc>
          <w:tcPr>
            <w:tcW w:w="2551" w:type="dxa"/>
            <w:tcBorders>
              <w:top w:val="nil"/>
              <w:left w:val="nil"/>
              <w:bottom w:val="nil"/>
              <w:right w:val="nil"/>
            </w:tcBorders>
            <w:shd w:val="clear" w:color="auto" w:fill="auto"/>
            <w:vAlign w:val="bottom"/>
            <w:hideMark/>
          </w:tcPr>
          <w:p w14:paraId="222F6A86" w14:textId="77777777" w:rsidR="001574E0" w:rsidRPr="002A5BE8" w:rsidRDefault="001574E0" w:rsidP="00302359">
            <w:pPr>
              <w:suppressAutoHyphens w:val="0"/>
              <w:overflowPunct/>
              <w:autoSpaceDE/>
              <w:rPr>
                <w:sz w:val="22"/>
                <w:szCs w:val="22"/>
                <w:lang w:eastAsia="hu-HU"/>
              </w:rPr>
            </w:pPr>
          </w:p>
        </w:tc>
        <w:tc>
          <w:tcPr>
            <w:tcW w:w="1701" w:type="dxa"/>
            <w:tcBorders>
              <w:top w:val="nil"/>
              <w:left w:val="nil"/>
              <w:bottom w:val="nil"/>
              <w:right w:val="nil"/>
            </w:tcBorders>
            <w:shd w:val="clear" w:color="auto" w:fill="auto"/>
            <w:noWrap/>
            <w:vAlign w:val="bottom"/>
            <w:hideMark/>
          </w:tcPr>
          <w:p w14:paraId="10164D28" w14:textId="77777777" w:rsidR="001574E0" w:rsidRPr="002A5BE8" w:rsidRDefault="001574E0" w:rsidP="00302359">
            <w:pPr>
              <w:suppressAutoHyphens w:val="0"/>
              <w:overflowPunct/>
              <w:autoSpaceDE/>
              <w:rPr>
                <w:sz w:val="22"/>
                <w:szCs w:val="22"/>
                <w:lang w:eastAsia="hu-HU"/>
              </w:rPr>
            </w:pPr>
          </w:p>
        </w:tc>
        <w:tc>
          <w:tcPr>
            <w:tcW w:w="1559" w:type="dxa"/>
            <w:tcBorders>
              <w:top w:val="nil"/>
              <w:left w:val="nil"/>
              <w:bottom w:val="nil"/>
              <w:right w:val="nil"/>
            </w:tcBorders>
            <w:shd w:val="clear" w:color="auto" w:fill="auto"/>
            <w:noWrap/>
            <w:vAlign w:val="bottom"/>
            <w:hideMark/>
          </w:tcPr>
          <w:p w14:paraId="429AAD08" w14:textId="77777777" w:rsidR="001574E0" w:rsidRPr="002A5BE8" w:rsidRDefault="001574E0" w:rsidP="00302359">
            <w:pPr>
              <w:suppressAutoHyphens w:val="0"/>
              <w:overflowPunct/>
              <w:autoSpaceDE/>
              <w:rPr>
                <w:sz w:val="22"/>
                <w:szCs w:val="22"/>
                <w:lang w:eastAsia="hu-HU"/>
              </w:rPr>
            </w:pPr>
          </w:p>
        </w:tc>
        <w:tc>
          <w:tcPr>
            <w:tcW w:w="1560" w:type="dxa"/>
            <w:tcBorders>
              <w:top w:val="nil"/>
              <w:left w:val="nil"/>
              <w:bottom w:val="nil"/>
              <w:right w:val="nil"/>
            </w:tcBorders>
            <w:shd w:val="clear" w:color="auto" w:fill="auto"/>
            <w:noWrap/>
            <w:vAlign w:val="bottom"/>
            <w:hideMark/>
          </w:tcPr>
          <w:p w14:paraId="42ECD9E8" w14:textId="77777777" w:rsidR="001574E0" w:rsidRPr="002A5BE8" w:rsidRDefault="001574E0" w:rsidP="00302359">
            <w:pPr>
              <w:suppressAutoHyphens w:val="0"/>
              <w:overflowPunct/>
              <w:autoSpaceDE/>
              <w:rPr>
                <w:sz w:val="22"/>
                <w:szCs w:val="22"/>
                <w:lang w:eastAsia="hu-HU"/>
              </w:rPr>
            </w:pPr>
          </w:p>
        </w:tc>
      </w:tr>
      <w:tr w:rsidR="001574E0" w:rsidRPr="002A5BE8" w14:paraId="21EDDF66"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F9E704A"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B52</w:t>
            </w:r>
          </w:p>
        </w:tc>
        <w:tc>
          <w:tcPr>
            <w:tcW w:w="2551" w:type="dxa"/>
            <w:tcBorders>
              <w:top w:val="nil"/>
              <w:left w:val="nil"/>
              <w:bottom w:val="single" w:sz="4" w:space="0" w:color="auto"/>
              <w:right w:val="single" w:sz="4" w:space="0" w:color="auto"/>
            </w:tcBorders>
            <w:shd w:val="clear" w:color="auto" w:fill="auto"/>
            <w:noWrap/>
            <w:vAlign w:val="bottom"/>
            <w:hideMark/>
          </w:tcPr>
          <w:p w14:paraId="7C46CC54"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Ingatlanok értékesítése</w:t>
            </w:r>
          </w:p>
        </w:tc>
        <w:tc>
          <w:tcPr>
            <w:tcW w:w="1701" w:type="dxa"/>
            <w:tcBorders>
              <w:top w:val="nil"/>
              <w:left w:val="nil"/>
              <w:bottom w:val="single" w:sz="4" w:space="0" w:color="auto"/>
              <w:right w:val="single" w:sz="4" w:space="0" w:color="auto"/>
            </w:tcBorders>
            <w:shd w:val="clear" w:color="auto" w:fill="auto"/>
            <w:noWrap/>
            <w:vAlign w:val="bottom"/>
            <w:hideMark/>
          </w:tcPr>
          <w:p w14:paraId="43199FB0" w14:textId="2F24D0A4"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240 000 000</w:t>
            </w:r>
          </w:p>
        </w:tc>
        <w:tc>
          <w:tcPr>
            <w:tcW w:w="1559" w:type="dxa"/>
            <w:tcBorders>
              <w:top w:val="nil"/>
              <w:left w:val="nil"/>
              <w:bottom w:val="single" w:sz="4" w:space="0" w:color="auto"/>
              <w:right w:val="single" w:sz="4" w:space="0" w:color="auto"/>
            </w:tcBorders>
            <w:shd w:val="clear" w:color="auto" w:fill="auto"/>
            <w:noWrap/>
            <w:vAlign w:val="bottom"/>
            <w:hideMark/>
          </w:tcPr>
          <w:p w14:paraId="490FEF70" w14:textId="3264F4A7"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388 000 000</w:t>
            </w:r>
          </w:p>
        </w:tc>
        <w:tc>
          <w:tcPr>
            <w:tcW w:w="1560" w:type="dxa"/>
            <w:tcBorders>
              <w:top w:val="nil"/>
              <w:left w:val="nil"/>
              <w:bottom w:val="single" w:sz="4" w:space="0" w:color="auto"/>
              <w:right w:val="single" w:sz="4" w:space="0" w:color="auto"/>
            </w:tcBorders>
            <w:shd w:val="clear" w:color="auto" w:fill="auto"/>
            <w:noWrap/>
            <w:vAlign w:val="bottom"/>
            <w:hideMark/>
          </w:tcPr>
          <w:p w14:paraId="036186FD" w14:textId="660A72AC"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175 548 449</w:t>
            </w:r>
          </w:p>
        </w:tc>
      </w:tr>
      <w:tr w:rsidR="001574E0" w:rsidRPr="002A5BE8" w14:paraId="1696FA5E" w14:textId="77777777" w:rsidTr="001574E0">
        <w:trPr>
          <w:trHeight w:val="576"/>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D9FFE7B"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B817</w:t>
            </w:r>
          </w:p>
        </w:tc>
        <w:tc>
          <w:tcPr>
            <w:tcW w:w="2551" w:type="dxa"/>
            <w:tcBorders>
              <w:top w:val="nil"/>
              <w:left w:val="nil"/>
              <w:bottom w:val="single" w:sz="4" w:space="0" w:color="auto"/>
              <w:right w:val="single" w:sz="4" w:space="0" w:color="auto"/>
            </w:tcBorders>
            <w:shd w:val="clear" w:color="auto" w:fill="auto"/>
            <w:vAlign w:val="bottom"/>
            <w:hideMark/>
          </w:tcPr>
          <w:p w14:paraId="3DF297E4"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Lekötött bankbetét megszüntetése</w:t>
            </w:r>
          </w:p>
        </w:tc>
        <w:tc>
          <w:tcPr>
            <w:tcW w:w="1701" w:type="dxa"/>
            <w:tcBorders>
              <w:top w:val="nil"/>
              <w:left w:val="nil"/>
              <w:bottom w:val="single" w:sz="4" w:space="0" w:color="auto"/>
              <w:right w:val="single" w:sz="4" w:space="0" w:color="auto"/>
            </w:tcBorders>
            <w:shd w:val="clear" w:color="auto" w:fill="auto"/>
            <w:noWrap/>
            <w:vAlign w:val="bottom"/>
            <w:hideMark/>
          </w:tcPr>
          <w:p w14:paraId="1EB9CC30" w14:textId="19721EF8"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0</w:t>
            </w:r>
          </w:p>
        </w:tc>
        <w:tc>
          <w:tcPr>
            <w:tcW w:w="1559" w:type="dxa"/>
            <w:tcBorders>
              <w:top w:val="nil"/>
              <w:left w:val="nil"/>
              <w:bottom w:val="single" w:sz="4" w:space="0" w:color="auto"/>
              <w:right w:val="single" w:sz="4" w:space="0" w:color="auto"/>
            </w:tcBorders>
            <w:shd w:val="clear" w:color="auto" w:fill="auto"/>
            <w:noWrap/>
            <w:vAlign w:val="bottom"/>
            <w:hideMark/>
          </w:tcPr>
          <w:p w14:paraId="58DB166B" w14:textId="4A1AD1E1"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400 000 000</w:t>
            </w:r>
          </w:p>
        </w:tc>
        <w:tc>
          <w:tcPr>
            <w:tcW w:w="1560" w:type="dxa"/>
            <w:tcBorders>
              <w:top w:val="nil"/>
              <w:left w:val="nil"/>
              <w:bottom w:val="single" w:sz="4" w:space="0" w:color="auto"/>
              <w:right w:val="single" w:sz="4" w:space="0" w:color="auto"/>
            </w:tcBorders>
            <w:shd w:val="clear" w:color="auto" w:fill="auto"/>
            <w:noWrap/>
            <w:vAlign w:val="bottom"/>
            <w:hideMark/>
          </w:tcPr>
          <w:p w14:paraId="67F7DD90" w14:textId="01F29104"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0</w:t>
            </w:r>
          </w:p>
        </w:tc>
      </w:tr>
      <w:tr w:rsidR="001574E0" w:rsidRPr="002A5BE8" w14:paraId="73D59193" w14:textId="77777777" w:rsidTr="001574E0">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90FA6A4"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B8131</w:t>
            </w:r>
          </w:p>
        </w:tc>
        <w:tc>
          <w:tcPr>
            <w:tcW w:w="2551" w:type="dxa"/>
            <w:tcBorders>
              <w:top w:val="nil"/>
              <w:left w:val="nil"/>
              <w:bottom w:val="single" w:sz="4" w:space="0" w:color="auto"/>
              <w:right w:val="single" w:sz="4" w:space="0" w:color="auto"/>
            </w:tcBorders>
            <w:shd w:val="clear" w:color="auto" w:fill="auto"/>
            <w:noWrap/>
            <w:vAlign w:val="bottom"/>
            <w:hideMark/>
          </w:tcPr>
          <w:p w14:paraId="2878A7CA"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Költségvetési maradvány</w:t>
            </w:r>
          </w:p>
        </w:tc>
        <w:tc>
          <w:tcPr>
            <w:tcW w:w="1701" w:type="dxa"/>
            <w:tcBorders>
              <w:top w:val="nil"/>
              <w:left w:val="nil"/>
              <w:bottom w:val="single" w:sz="4" w:space="0" w:color="auto"/>
              <w:right w:val="single" w:sz="4" w:space="0" w:color="auto"/>
            </w:tcBorders>
            <w:shd w:val="clear" w:color="auto" w:fill="auto"/>
            <w:noWrap/>
            <w:vAlign w:val="bottom"/>
            <w:hideMark/>
          </w:tcPr>
          <w:p w14:paraId="37C9AB6D" w14:textId="30C2F42F"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683 448 213</w:t>
            </w:r>
          </w:p>
        </w:tc>
        <w:tc>
          <w:tcPr>
            <w:tcW w:w="1559" w:type="dxa"/>
            <w:tcBorders>
              <w:top w:val="nil"/>
              <w:left w:val="nil"/>
              <w:bottom w:val="single" w:sz="4" w:space="0" w:color="auto"/>
              <w:right w:val="single" w:sz="4" w:space="0" w:color="auto"/>
            </w:tcBorders>
            <w:shd w:val="clear" w:color="auto" w:fill="auto"/>
            <w:noWrap/>
            <w:vAlign w:val="bottom"/>
            <w:hideMark/>
          </w:tcPr>
          <w:p w14:paraId="4EC25388" w14:textId="421E7D60"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239 644 409</w:t>
            </w:r>
          </w:p>
        </w:tc>
        <w:tc>
          <w:tcPr>
            <w:tcW w:w="1560" w:type="dxa"/>
            <w:tcBorders>
              <w:top w:val="nil"/>
              <w:left w:val="nil"/>
              <w:bottom w:val="single" w:sz="4" w:space="0" w:color="auto"/>
              <w:right w:val="single" w:sz="4" w:space="0" w:color="auto"/>
            </w:tcBorders>
            <w:shd w:val="clear" w:color="auto" w:fill="auto"/>
            <w:noWrap/>
            <w:vAlign w:val="bottom"/>
            <w:hideMark/>
          </w:tcPr>
          <w:p w14:paraId="100B6792" w14:textId="26BC9E99"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323 054 299</w:t>
            </w:r>
          </w:p>
        </w:tc>
      </w:tr>
      <w:tr w:rsidR="001574E0" w:rsidRPr="002A5BE8" w14:paraId="6432B864" w14:textId="77777777" w:rsidTr="003A3097">
        <w:trPr>
          <w:trHeight w:val="288"/>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33E9D3A"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 </w:t>
            </w:r>
          </w:p>
        </w:tc>
        <w:tc>
          <w:tcPr>
            <w:tcW w:w="2551" w:type="dxa"/>
            <w:tcBorders>
              <w:top w:val="nil"/>
              <w:left w:val="nil"/>
              <w:bottom w:val="single" w:sz="4" w:space="0" w:color="auto"/>
              <w:right w:val="single" w:sz="4" w:space="0" w:color="auto"/>
            </w:tcBorders>
            <w:shd w:val="clear" w:color="auto" w:fill="auto"/>
            <w:noWrap/>
            <w:vAlign w:val="bottom"/>
            <w:hideMark/>
          </w:tcPr>
          <w:p w14:paraId="74229867" w14:textId="77777777" w:rsidR="001574E0" w:rsidRPr="002A5BE8" w:rsidRDefault="001574E0" w:rsidP="00302359">
            <w:pPr>
              <w:suppressAutoHyphens w:val="0"/>
              <w:overflowPunct/>
              <w:autoSpaceDE/>
              <w:rPr>
                <w:b/>
                <w:bCs/>
                <w:color w:val="000000"/>
                <w:sz w:val="22"/>
                <w:szCs w:val="22"/>
                <w:lang w:eastAsia="hu-HU"/>
              </w:rPr>
            </w:pPr>
            <w:r w:rsidRPr="002A5BE8">
              <w:rPr>
                <w:b/>
                <w:bCs/>
                <w:color w:val="000000"/>
                <w:sz w:val="22"/>
                <w:szCs w:val="22"/>
                <w:lang w:eastAsia="hu-HU"/>
              </w:rPr>
              <w:t>Összesen</w:t>
            </w:r>
          </w:p>
        </w:tc>
        <w:tc>
          <w:tcPr>
            <w:tcW w:w="1701" w:type="dxa"/>
            <w:tcBorders>
              <w:top w:val="nil"/>
              <w:left w:val="nil"/>
              <w:bottom w:val="single" w:sz="4" w:space="0" w:color="auto"/>
              <w:right w:val="single" w:sz="4" w:space="0" w:color="auto"/>
            </w:tcBorders>
            <w:shd w:val="clear" w:color="auto" w:fill="auto"/>
            <w:noWrap/>
            <w:vAlign w:val="bottom"/>
            <w:hideMark/>
          </w:tcPr>
          <w:p w14:paraId="6E3D9B8E" w14:textId="50B278F2"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923 448 213</w:t>
            </w:r>
          </w:p>
        </w:tc>
        <w:tc>
          <w:tcPr>
            <w:tcW w:w="1559" w:type="dxa"/>
            <w:tcBorders>
              <w:top w:val="nil"/>
              <w:left w:val="nil"/>
              <w:bottom w:val="single" w:sz="4" w:space="0" w:color="auto"/>
              <w:right w:val="single" w:sz="4" w:space="0" w:color="auto"/>
            </w:tcBorders>
            <w:shd w:val="clear" w:color="auto" w:fill="auto"/>
            <w:noWrap/>
            <w:vAlign w:val="bottom"/>
            <w:hideMark/>
          </w:tcPr>
          <w:p w14:paraId="4C858568" w14:textId="69D6ACE9"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1 027 644 409</w:t>
            </w:r>
          </w:p>
        </w:tc>
        <w:tc>
          <w:tcPr>
            <w:tcW w:w="1560" w:type="dxa"/>
            <w:tcBorders>
              <w:top w:val="nil"/>
              <w:left w:val="nil"/>
              <w:bottom w:val="single" w:sz="4" w:space="0" w:color="auto"/>
              <w:right w:val="single" w:sz="4" w:space="0" w:color="auto"/>
            </w:tcBorders>
            <w:shd w:val="clear" w:color="auto" w:fill="auto"/>
            <w:noWrap/>
            <w:vAlign w:val="bottom"/>
            <w:hideMark/>
          </w:tcPr>
          <w:p w14:paraId="395BB322" w14:textId="6BB44E0B" w:rsidR="001574E0" w:rsidRPr="002A5BE8" w:rsidRDefault="001574E0" w:rsidP="00302359">
            <w:pPr>
              <w:suppressAutoHyphens w:val="0"/>
              <w:overflowPunct/>
              <w:autoSpaceDE/>
              <w:jc w:val="right"/>
              <w:rPr>
                <w:b/>
                <w:bCs/>
                <w:color w:val="000000"/>
                <w:sz w:val="22"/>
                <w:szCs w:val="22"/>
                <w:lang w:eastAsia="hu-HU"/>
              </w:rPr>
            </w:pPr>
            <w:r w:rsidRPr="002A5BE8">
              <w:rPr>
                <w:b/>
                <w:bCs/>
                <w:color w:val="000000"/>
                <w:sz w:val="22"/>
                <w:szCs w:val="22"/>
                <w:lang w:eastAsia="hu-HU"/>
              </w:rPr>
              <w:t>498 602 748</w:t>
            </w:r>
          </w:p>
        </w:tc>
      </w:tr>
      <w:tr w:rsidR="001574E0" w:rsidRPr="002A5BE8" w14:paraId="00E84E04" w14:textId="77777777" w:rsidTr="003A3097">
        <w:trPr>
          <w:trHeight w:val="288"/>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8D8D236" w14:textId="77777777" w:rsidR="001574E0" w:rsidRPr="002A5BE8" w:rsidRDefault="001574E0" w:rsidP="00302359">
            <w:pPr>
              <w:suppressAutoHyphens w:val="0"/>
              <w:overflowPunct/>
              <w:autoSpaceDE/>
              <w:jc w:val="right"/>
              <w:rPr>
                <w:b/>
                <w:bCs/>
                <w:color w:val="000000"/>
                <w:sz w:val="22"/>
                <w:szCs w:val="22"/>
                <w:lang w:eastAsia="hu-HU"/>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1051B17" w14:textId="3B955D15" w:rsidR="001574E0" w:rsidRPr="002A5BE8" w:rsidRDefault="003A3097" w:rsidP="00302359">
            <w:pPr>
              <w:suppressAutoHyphens w:val="0"/>
              <w:overflowPunct/>
              <w:autoSpaceDE/>
              <w:rPr>
                <w:b/>
                <w:bCs/>
                <w:sz w:val="22"/>
                <w:szCs w:val="22"/>
                <w:lang w:eastAsia="hu-HU"/>
              </w:rPr>
            </w:pPr>
            <w:r w:rsidRPr="002A5BE8">
              <w:rPr>
                <w:b/>
                <w:bCs/>
                <w:sz w:val="22"/>
                <w:szCs w:val="22"/>
                <w:lang w:eastAsia="hu-HU"/>
              </w:rPr>
              <w:t xml:space="preserve">A fenti sorok különbözete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BED010C" w14:textId="7A439884"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297 726 354</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E4DEBFA" w14:textId="0E3EF2AC"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253 911 795</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E6280C1" w14:textId="1FF0678F" w:rsidR="001574E0" w:rsidRPr="002A5BE8" w:rsidRDefault="001574E0" w:rsidP="00302359">
            <w:pPr>
              <w:suppressAutoHyphens w:val="0"/>
              <w:overflowPunct/>
              <w:autoSpaceDE/>
              <w:jc w:val="right"/>
              <w:rPr>
                <w:color w:val="000000"/>
                <w:sz w:val="22"/>
                <w:szCs w:val="22"/>
                <w:lang w:eastAsia="hu-HU"/>
              </w:rPr>
            </w:pPr>
            <w:r w:rsidRPr="002A5BE8">
              <w:rPr>
                <w:color w:val="000000"/>
                <w:sz w:val="22"/>
                <w:szCs w:val="22"/>
                <w:lang w:eastAsia="hu-HU"/>
              </w:rPr>
              <w:t>251 058 742</w:t>
            </w:r>
          </w:p>
        </w:tc>
      </w:tr>
    </w:tbl>
    <w:p w14:paraId="3E63BC44" w14:textId="77777777" w:rsidR="00302359" w:rsidRPr="002A5BE8" w:rsidRDefault="00302359" w:rsidP="00CA7CB3">
      <w:pPr>
        <w:suppressAutoHyphens w:val="0"/>
        <w:overflowPunct/>
        <w:autoSpaceDE/>
        <w:jc w:val="both"/>
        <w:rPr>
          <w:sz w:val="22"/>
          <w:szCs w:val="22"/>
        </w:rPr>
      </w:pPr>
    </w:p>
    <w:p w14:paraId="4075BFE7" w14:textId="6246551E" w:rsidR="00302359" w:rsidRPr="002A5BE8" w:rsidRDefault="00302359" w:rsidP="00CA7CB3">
      <w:pPr>
        <w:suppressAutoHyphens w:val="0"/>
        <w:overflowPunct/>
        <w:autoSpaceDE/>
        <w:jc w:val="both"/>
        <w:rPr>
          <w:sz w:val="22"/>
          <w:szCs w:val="22"/>
        </w:rPr>
      </w:pPr>
      <w:r w:rsidRPr="002A5BE8">
        <w:rPr>
          <w:sz w:val="22"/>
          <w:szCs w:val="22"/>
        </w:rPr>
        <w:t xml:space="preserve">Az elmúlt 3 évre tekintve egyértelműen megfigyelhető, hogy a költségvetési maradvány (ideértve a lekötött bankbetétek feloldását) és az ingatlanok értékesítése a költségvetés </w:t>
      </w:r>
      <w:r w:rsidR="00C075D4" w:rsidRPr="002A5BE8">
        <w:rPr>
          <w:sz w:val="22"/>
          <w:szCs w:val="22"/>
        </w:rPr>
        <w:t xml:space="preserve">terveiben </w:t>
      </w:r>
      <w:r w:rsidRPr="002A5BE8">
        <w:rPr>
          <w:sz w:val="22"/>
          <w:szCs w:val="22"/>
        </w:rPr>
        <w:t>bevételi oldalának két meghatározó pillére voltak</w:t>
      </w:r>
      <w:r w:rsidR="003A3097" w:rsidRPr="002A5BE8">
        <w:rPr>
          <w:sz w:val="22"/>
          <w:szCs w:val="22"/>
        </w:rPr>
        <w:t xml:space="preserve"> (elérték </w:t>
      </w:r>
      <w:r w:rsidR="00C075D4" w:rsidRPr="002A5BE8">
        <w:rPr>
          <w:sz w:val="22"/>
          <w:szCs w:val="22"/>
        </w:rPr>
        <w:t xml:space="preserve">a tervezett </w:t>
      </w:r>
      <w:r w:rsidR="003A3097" w:rsidRPr="002A5BE8">
        <w:rPr>
          <w:sz w:val="22"/>
          <w:szCs w:val="22"/>
        </w:rPr>
        <w:t xml:space="preserve">összbevétel </w:t>
      </w:r>
      <w:r w:rsidR="00D965E0" w:rsidRPr="002A5BE8">
        <w:rPr>
          <w:sz w:val="22"/>
          <w:szCs w:val="22"/>
        </w:rPr>
        <w:t>36</w:t>
      </w:r>
      <w:r w:rsidR="00C075D4" w:rsidRPr="002A5BE8">
        <w:rPr>
          <w:sz w:val="22"/>
          <w:szCs w:val="22"/>
        </w:rPr>
        <w:t>-1</w:t>
      </w:r>
      <w:r w:rsidR="00D965E0" w:rsidRPr="002A5BE8">
        <w:rPr>
          <w:sz w:val="22"/>
          <w:szCs w:val="22"/>
        </w:rPr>
        <w:t>3</w:t>
      </w:r>
      <w:r w:rsidR="00C075D4" w:rsidRPr="002A5BE8">
        <w:rPr>
          <w:sz w:val="22"/>
          <w:szCs w:val="22"/>
        </w:rPr>
        <w:t>%-</w:t>
      </w:r>
      <w:r w:rsidR="003A3097" w:rsidRPr="002A5BE8">
        <w:rPr>
          <w:sz w:val="22"/>
          <w:szCs w:val="22"/>
        </w:rPr>
        <w:t>át)</w:t>
      </w:r>
      <w:r w:rsidRPr="002A5BE8">
        <w:rPr>
          <w:sz w:val="22"/>
          <w:szCs w:val="22"/>
        </w:rPr>
        <w:t xml:space="preserve">. 2022-ben több mint 900 millió forintot, 2023-ban több mint 1 milliárd forintot jelentettek ezek a </w:t>
      </w:r>
      <w:r w:rsidR="00C075D4" w:rsidRPr="002A5BE8">
        <w:rPr>
          <w:sz w:val="22"/>
          <w:szCs w:val="22"/>
        </w:rPr>
        <w:t xml:space="preserve">tervezett </w:t>
      </w:r>
      <w:r w:rsidRPr="002A5BE8">
        <w:rPr>
          <w:sz w:val="22"/>
          <w:szCs w:val="22"/>
        </w:rPr>
        <w:t>bevételek a költségvetésnek.</w:t>
      </w:r>
    </w:p>
    <w:p w14:paraId="35F8AE47" w14:textId="77777777" w:rsidR="00C075D4" w:rsidRPr="002A5BE8" w:rsidRDefault="00C075D4" w:rsidP="00CA7CB3">
      <w:pPr>
        <w:suppressAutoHyphens w:val="0"/>
        <w:overflowPunct/>
        <w:autoSpaceDE/>
        <w:jc w:val="both"/>
        <w:rPr>
          <w:sz w:val="22"/>
          <w:szCs w:val="22"/>
        </w:rPr>
      </w:pPr>
    </w:p>
    <w:p w14:paraId="3367F481" w14:textId="1DC652E2" w:rsidR="001574E0" w:rsidRPr="002A5BE8" w:rsidRDefault="00E433D5" w:rsidP="00CA7CB3">
      <w:pPr>
        <w:suppressAutoHyphens w:val="0"/>
        <w:overflowPunct/>
        <w:autoSpaceDE/>
        <w:jc w:val="both"/>
        <w:rPr>
          <w:color w:val="FF0000"/>
          <w:sz w:val="22"/>
          <w:szCs w:val="22"/>
        </w:rPr>
      </w:pPr>
      <w:r w:rsidRPr="002A5BE8">
        <w:rPr>
          <w:sz w:val="22"/>
          <w:szCs w:val="22"/>
        </w:rPr>
        <w:t xml:space="preserve"> </w:t>
      </w:r>
      <w:r w:rsidRPr="002A5BE8">
        <w:rPr>
          <w:noProof/>
          <w:sz w:val="22"/>
          <w:szCs w:val="22"/>
        </w:rPr>
        <w:drawing>
          <wp:inline distT="0" distB="0" distL="0" distR="0" wp14:anchorId="48E31124" wp14:editId="3AA5EE7B">
            <wp:extent cx="5760720" cy="774065"/>
            <wp:effectExtent l="0" t="0" r="0" b="6985"/>
            <wp:docPr id="2124113046" name="Kép 1" descr="A képen szöveg, képernyőkép, Betűtípus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113046" name="Kép 1" descr="A képen szöveg, képernyőkép, Betűtípus látható&#10;&#10;Előfordulhat, hogy a mesterséges intelligencia által létrehozott tartalom helytelen."/>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0720" cy="774065"/>
                    </a:xfrm>
                    <a:prstGeom prst="rect">
                      <a:avLst/>
                    </a:prstGeom>
                    <a:noFill/>
                    <a:ln>
                      <a:noFill/>
                    </a:ln>
                  </pic:spPr>
                </pic:pic>
              </a:graphicData>
            </a:graphic>
          </wp:inline>
        </w:drawing>
      </w:r>
    </w:p>
    <w:p w14:paraId="3CC27C63" w14:textId="77777777" w:rsidR="00C075D4" w:rsidRPr="002A5BE8" w:rsidRDefault="00C075D4" w:rsidP="00CA7CB3">
      <w:pPr>
        <w:suppressAutoHyphens w:val="0"/>
        <w:overflowPunct/>
        <w:autoSpaceDE/>
        <w:jc w:val="both"/>
        <w:rPr>
          <w:color w:val="FF0000"/>
          <w:sz w:val="22"/>
          <w:szCs w:val="22"/>
        </w:rPr>
      </w:pPr>
    </w:p>
    <w:p w14:paraId="4FA3590D" w14:textId="5A9519E6" w:rsidR="00302359" w:rsidRPr="002A5BE8" w:rsidRDefault="00302359" w:rsidP="00CA7CB3">
      <w:pPr>
        <w:suppressAutoHyphens w:val="0"/>
        <w:overflowPunct/>
        <w:autoSpaceDE/>
        <w:jc w:val="both"/>
        <w:rPr>
          <w:sz w:val="22"/>
          <w:szCs w:val="22"/>
        </w:rPr>
      </w:pPr>
      <w:r w:rsidRPr="002A5BE8">
        <w:rPr>
          <w:sz w:val="22"/>
          <w:szCs w:val="22"/>
        </w:rPr>
        <w:t xml:space="preserve">Ebben a két évben a költségvetés </w:t>
      </w:r>
      <w:r w:rsidR="00C075D4" w:rsidRPr="002A5BE8">
        <w:rPr>
          <w:sz w:val="22"/>
          <w:szCs w:val="22"/>
        </w:rPr>
        <w:t xml:space="preserve">tervezett </w:t>
      </w:r>
      <w:r w:rsidRPr="002A5BE8">
        <w:rPr>
          <w:sz w:val="22"/>
          <w:szCs w:val="22"/>
        </w:rPr>
        <w:t>kiadási oldalán az egyszeri, nem működési jellegű költségek</w:t>
      </w:r>
      <w:r w:rsidR="00EB3369" w:rsidRPr="002A5BE8">
        <w:rPr>
          <w:sz w:val="22"/>
          <w:szCs w:val="22"/>
        </w:rPr>
        <w:t xml:space="preserve"> 2022-ben 625 millió forintot, 2023-ban 773 millió forintot tettek ki</w:t>
      </w:r>
      <w:r w:rsidR="003A3097" w:rsidRPr="002A5BE8">
        <w:rPr>
          <w:sz w:val="22"/>
          <w:szCs w:val="22"/>
        </w:rPr>
        <w:t>.</w:t>
      </w:r>
    </w:p>
    <w:p w14:paraId="63A01E5F" w14:textId="77777777" w:rsidR="001574E0" w:rsidRPr="002A5BE8" w:rsidRDefault="001574E0" w:rsidP="00CA7CB3">
      <w:pPr>
        <w:suppressAutoHyphens w:val="0"/>
        <w:overflowPunct/>
        <w:autoSpaceDE/>
        <w:jc w:val="both"/>
        <w:rPr>
          <w:sz w:val="22"/>
          <w:szCs w:val="22"/>
        </w:rPr>
      </w:pPr>
    </w:p>
    <w:p w14:paraId="69A837AE" w14:textId="11ECFAA8" w:rsidR="00EB3369" w:rsidRPr="002A5BE8" w:rsidRDefault="00EB3369" w:rsidP="00CA7CB3">
      <w:pPr>
        <w:suppressAutoHyphens w:val="0"/>
        <w:overflowPunct/>
        <w:autoSpaceDE/>
        <w:jc w:val="both"/>
        <w:rPr>
          <w:sz w:val="22"/>
          <w:szCs w:val="22"/>
        </w:rPr>
      </w:pPr>
      <w:r w:rsidRPr="002A5BE8">
        <w:rPr>
          <w:b/>
          <w:bCs/>
          <w:sz w:val="22"/>
          <w:szCs w:val="22"/>
        </w:rPr>
        <w:t xml:space="preserve">Ezeket a számokat összevetve kitűnik, hogy ebben a két évben </w:t>
      </w:r>
      <w:r w:rsidR="001574E0" w:rsidRPr="002A5BE8">
        <w:rPr>
          <w:b/>
          <w:bCs/>
          <w:sz w:val="22"/>
          <w:szCs w:val="22"/>
        </w:rPr>
        <w:t xml:space="preserve">a fenti két „egyszeri” jellegű bevételi körből </w:t>
      </w:r>
      <w:r w:rsidRPr="002A5BE8">
        <w:rPr>
          <w:b/>
          <w:bCs/>
          <w:sz w:val="22"/>
          <w:szCs w:val="22"/>
        </w:rPr>
        <w:t xml:space="preserve">297 millió forint, illetve 253 millió forint nem beruházások/felújítások finanszírozására, hanem működési költségre lett </w:t>
      </w:r>
      <w:r w:rsidR="00EE1607" w:rsidRPr="002A5BE8">
        <w:rPr>
          <w:b/>
          <w:bCs/>
          <w:sz w:val="22"/>
          <w:szCs w:val="22"/>
        </w:rPr>
        <w:t>tervezve.</w:t>
      </w:r>
    </w:p>
    <w:p w14:paraId="1E650865" w14:textId="5A4D73B5" w:rsidR="00EB3369" w:rsidRPr="002A5BE8" w:rsidRDefault="00EB3369" w:rsidP="00CA7CB3">
      <w:pPr>
        <w:suppressAutoHyphens w:val="0"/>
        <w:overflowPunct/>
        <w:autoSpaceDE/>
        <w:jc w:val="both"/>
        <w:rPr>
          <w:sz w:val="22"/>
          <w:szCs w:val="22"/>
        </w:rPr>
      </w:pPr>
    </w:p>
    <w:p w14:paraId="0F0D3FEE" w14:textId="42A0ED08" w:rsidR="00EE1607" w:rsidRPr="002A5BE8" w:rsidRDefault="00EE1607" w:rsidP="00CA7CB3">
      <w:pPr>
        <w:suppressAutoHyphens w:val="0"/>
        <w:overflowPunct/>
        <w:autoSpaceDE/>
        <w:jc w:val="both"/>
        <w:rPr>
          <w:sz w:val="22"/>
          <w:szCs w:val="22"/>
        </w:rPr>
      </w:pPr>
      <w:r w:rsidRPr="002A5BE8">
        <w:rPr>
          <w:noProof/>
          <w:sz w:val="22"/>
          <w:szCs w:val="22"/>
        </w:rPr>
        <w:drawing>
          <wp:inline distT="0" distB="0" distL="0" distR="0" wp14:anchorId="52F5662C" wp14:editId="182AD0D0">
            <wp:extent cx="5760720" cy="865505"/>
            <wp:effectExtent l="0" t="0" r="0" b="0"/>
            <wp:docPr id="50433040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865505"/>
                    </a:xfrm>
                    <a:prstGeom prst="rect">
                      <a:avLst/>
                    </a:prstGeom>
                    <a:noFill/>
                    <a:ln>
                      <a:noFill/>
                    </a:ln>
                  </pic:spPr>
                </pic:pic>
              </a:graphicData>
            </a:graphic>
          </wp:inline>
        </w:drawing>
      </w:r>
    </w:p>
    <w:p w14:paraId="45E61A88" w14:textId="77777777" w:rsidR="00EE1607" w:rsidRPr="002A5BE8" w:rsidRDefault="00EE1607" w:rsidP="00CA7CB3">
      <w:pPr>
        <w:suppressAutoHyphens w:val="0"/>
        <w:overflowPunct/>
        <w:autoSpaceDE/>
        <w:jc w:val="both"/>
        <w:rPr>
          <w:sz w:val="22"/>
          <w:szCs w:val="22"/>
        </w:rPr>
      </w:pPr>
    </w:p>
    <w:p w14:paraId="498ED64E" w14:textId="40F1425B" w:rsidR="00EB3369" w:rsidRPr="002A5BE8" w:rsidRDefault="00EB3369" w:rsidP="00CA7CB3">
      <w:pPr>
        <w:suppressAutoHyphens w:val="0"/>
        <w:overflowPunct/>
        <w:autoSpaceDE/>
        <w:jc w:val="both"/>
        <w:rPr>
          <w:sz w:val="22"/>
          <w:szCs w:val="22"/>
        </w:rPr>
      </w:pPr>
      <w:r w:rsidRPr="002A5BE8">
        <w:rPr>
          <w:sz w:val="22"/>
          <w:szCs w:val="22"/>
        </w:rPr>
        <w:t xml:space="preserve">Az önkormányzat, illetve az önkormányzat intézményeinek működési költségei évről évre nagyobb ütemben nőttek, mint a rendszeres („működési”) bevételek. </w:t>
      </w:r>
      <w:r w:rsidR="001574E0" w:rsidRPr="002A5BE8">
        <w:rPr>
          <w:b/>
          <w:bCs/>
          <w:sz w:val="22"/>
          <w:szCs w:val="22"/>
        </w:rPr>
        <w:t>Egyértelműen megállapítható, hogy az önkormányzat évről-évre többet fordított a működési költségekre, mint az adott évre eső működési bevétele</w:t>
      </w:r>
      <w:r w:rsidR="00A62644" w:rsidRPr="002A5BE8">
        <w:rPr>
          <w:b/>
          <w:bCs/>
          <w:sz w:val="22"/>
          <w:szCs w:val="22"/>
        </w:rPr>
        <w:t xml:space="preserve"> (de közben az is igaz, hogy a beruházásokra/felhalmozási kiadásokra is többet költött, mint amennyi ilyen jellegű bevétele volt: lásd, nem teljesültek a telekeladás tervezett bevételei)</w:t>
      </w:r>
      <w:r w:rsidR="001574E0" w:rsidRPr="002A5BE8">
        <w:rPr>
          <w:sz w:val="22"/>
          <w:szCs w:val="22"/>
        </w:rPr>
        <w:t xml:space="preserve">. </w:t>
      </w:r>
      <w:r w:rsidRPr="002A5BE8">
        <w:rPr>
          <w:b/>
          <w:bCs/>
          <w:sz w:val="22"/>
          <w:szCs w:val="22"/>
        </w:rPr>
        <w:t>A hiányt a költségvetési maradvány terhére finanszírozta az önkormányzat</w:t>
      </w:r>
      <w:r w:rsidRPr="002A5BE8">
        <w:rPr>
          <w:sz w:val="22"/>
          <w:szCs w:val="22"/>
        </w:rPr>
        <w:t xml:space="preserve">. </w:t>
      </w:r>
      <w:r w:rsidRPr="002A5BE8">
        <w:rPr>
          <w:b/>
          <w:bCs/>
          <w:sz w:val="22"/>
          <w:szCs w:val="22"/>
        </w:rPr>
        <w:t xml:space="preserve">Az évről-évre elfogadott, illetve fokozatosan emelkedő működési </w:t>
      </w:r>
      <w:r w:rsidR="00A62644" w:rsidRPr="002A5BE8">
        <w:rPr>
          <w:b/>
          <w:bCs/>
          <w:sz w:val="22"/>
          <w:szCs w:val="22"/>
        </w:rPr>
        <w:t xml:space="preserve">és felhalmozási </w:t>
      </w:r>
      <w:r w:rsidRPr="002A5BE8">
        <w:rPr>
          <w:b/>
          <w:bCs/>
          <w:sz w:val="22"/>
          <w:szCs w:val="22"/>
        </w:rPr>
        <w:t xml:space="preserve">költségek azonban </w:t>
      </w:r>
      <w:r w:rsidRPr="002A5BE8">
        <w:rPr>
          <w:b/>
          <w:bCs/>
          <w:sz w:val="22"/>
          <w:szCs w:val="22"/>
        </w:rPr>
        <w:lastRenderedPageBreak/>
        <w:t>felemésztették ezt a tartalékot</w:t>
      </w:r>
      <w:r w:rsidRPr="002A5BE8">
        <w:rPr>
          <w:sz w:val="22"/>
          <w:szCs w:val="22"/>
        </w:rPr>
        <w:t xml:space="preserve">, olyannyira, hogy a 2025-ös költségvetési évet egy csupán 18 millió forintos </w:t>
      </w:r>
      <w:r w:rsidR="007C2ABA" w:rsidRPr="002A5BE8">
        <w:rPr>
          <w:sz w:val="22"/>
          <w:szCs w:val="22"/>
        </w:rPr>
        <w:t>maradvánnyal nyithattuk meg.</w:t>
      </w:r>
    </w:p>
    <w:p w14:paraId="55D84866" w14:textId="77777777" w:rsidR="00E154BA" w:rsidRPr="002A5BE8" w:rsidRDefault="00E154BA" w:rsidP="00CA7CB3">
      <w:pPr>
        <w:suppressAutoHyphens w:val="0"/>
        <w:overflowPunct/>
        <w:autoSpaceDE/>
        <w:jc w:val="both"/>
        <w:rPr>
          <w:sz w:val="22"/>
          <w:szCs w:val="22"/>
        </w:rPr>
      </w:pPr>
    </w:p>
    <w:p w14:paraId="2D9E4828" w14:textId="718E75C2" w:rsidR="00204F24" w:rsidRPr="002A5BE8" w:rsidRDefault="00204F24" w:rsidP="00CA7CB3">
      <w:pPr>
        <w:suppressAutoHyphens w:val="0"/>
        <w:overflowPunct/>
        <w:autoSpaceDE/>
        <w:jc w:val="both"/>
        <w:rPr>
          <w:sz w:val="22"/>
          <w:szCs w:val="22"/>
        </w:rPr>
      </w:pPr>
      <w:r w:rsidRPr="002A5BE8">
        <w:rPr>
          <w:noProof/>
          <w:sz w:val="22"/>
          <w:szCs w:val="22"/>
        </w:rPr>
        <w:drawing>
          <wp:inline distT="0" distB="0" distL="0" distR="0" wp14:anchorId="4D7C0665" wp14:editId="2486E4CD">
            <wp:extent cx="5760720" cy="722630"/>
            <wp:effectExtent l="0" t="0" r="0" b="1270"/>
            <wp:docPr id="93453140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22630"/>
                    </a:xfrm>
                    <a:prstGeom prst="rect">
                      <a:avLst/>
                    </a:prstGeom>
                    <a:noFill/>
                    <a:ln>
                      <a:noFill/>
                    </a:ln>
                  </pic:spPr>
                </pic:pic>
              </a:graphicData>
            </a:graphic>
          </wp:inline>
        </w:drawing>
      </w:r>
    </w:p>
    <w:p w14:paraId="4CD7BF59" w14:textId="77777777" w:rsidR="00A62644" w:rsidRPr="002A5BE8" w:rsidRDefault="00A62644" w:rsidP="00CA7CB3">
      <w:pPr>
        <w:suppressAutoHyphens w:val="0"/>
        <w:overflowPunct/>
        <w:autoSpaceDE/>
        <w:jc w:val="both"/>
        <w:rPr>
          <w:sz w:val="22"/>
          <w:szCs w:val="22"/>
        </w:rPr>
      </w:pPr>
    </w:p>
    <w:p w14:paraId="744E051F" w14:textId="5AB66D20" w:rsidR="00204F24" w:rsidRPr="002A5BE8" w:rsidRDefault="00204F24" w:rsidP="00DC3E12">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r w:rsidRPr="002A5BE8">
        <w:rPr>
          <w:sz w:val="22"/>
          <w:szCs w:val="22"/>
        </w:rPr>
        <w:t>2022-ben az év végén lekötött betét torzítja ezt a táblát, tulajdonképpen a működési bevétel</w:t>
      </w:r>
      <w:r w:rsidR="00A62644" w:rsidRPr="002A5BE8">
        <w:rPr>
          <w:sz w:val="22"/>
          <w:szCs w:val="22"/>
        </w:rPr>
        <w:t xml:space="preserve"> </w:t>
      </w:r>
      <w:r w:rsidRPr="002A5BE8">
        <w:rPr>
          <w:sz w:val="22"/>
          <w:szCs w:val="22"/>
        </w:rPr>
        <w:t>magasabb volt, mint a kiadás, így ez a maradványt növelte 53.613.423 Ft-tal, de a felhalmozási kiadásokra költött 97.417.227 Ft a maradvány csökkenését eredményezte.</w:t>
      </w:r>
    </w:p>
    <w:p w14:paraId="0DB9ED47" w14:textId="77777777" w:rsidR="007C2ABA" w:rsidRPr="002A5BE8" w:rsidRDefault="007C2ABA" w:rsidP="00CA7CB3">
      <w:pPr>
        <w:suppressAutoHyphens w:val="0"/>
        <w:overflowPunct/>
        <w:autoSpaceDE/>
        <w:jc w:val="both"/>
        <w:rPr>
          <w:sz w:val="22"/>
          <w:szCs w:val="22"/>
        </w:rPr>
      </w:pPr>
    </w:p>
    <w:p w14:paraId="1DD280DE" w14:textId="77777777" w:rsidR="00217EDE" w:rsidRPr="002A5BE8" w:rsidRDefault="007C2ABA" w:rsidP="00CA7CB3">
      <w:pPr>
        <w:suppressAutoHyphens w:val="0"/>
        <w:overflowPunct/>
        <w:autoSpaceDE/>
        <w:jc w:val="both"/>
        <w:rPr>
          <w:sz w:val="22"/>
          <w:szCs w:val="22"/>
        </w:rPr>
      </w:pPr>
      <w:r w:rsidRPr="002A5BE8">
        <w:rPr>
          <w:sz w:val="22"/>
          <w:szCs w:val="22"/>
        </w:rPr>
        <w:t>Az előző képviselő-testület ismétlődően hangsúlyozta, hogy nincsen szükség adóemelésre, miközben működési költségeket finanszírozott a költségvetési maradványból, annak ellenére, hogy látható volt, hogy ennek mértéke évről évre csökken.</w:t>
      </w:r>
    </w:p>
    <w:p w14:paraId="487E0C95" w14:textId="3FA3F07F" w:rsidR="007C2ABA" w:rsidRPr="002A5BE8" w:rsidRDefault="007C2ABA" w:rsidP="00CA7CB3">
      <w:pPr>
        <w:suppressAutoHyphens w:val="0"/>
        <w:overflowPunct/>
        <w:autoSpaceDE/>
        <w:jc w:val="both"/>
        <w:rPr>
          <w:sz w:val="22"/>
          <w:szCs w:val="22"/>
        </w:rPr>
      </w:pPr>
      <w:r w:rsidRPr="002A5BE8">
        <w:rPr>
          <w:b/>
          <w:bCs/>
          <w:sz w:val="22"/>
          <w:szCs w:val="22"/>
        </w:rPr>
        <w:t xml:space="preserve">A 2023-as és a 2024-es költségvetés tehát egyértelműen egy nem fenntartható gazdálkodási pályára állította az önkormányzatot, mivel a költségvetési maradványból nem a kiadási oldalt csökkentő beruházásokra, hanem </w:t>
      </w:r>
      <w:r w:rsidR="00A62644" w:rsidRPr="002A5BE8">
        <w:rPr>
          <w:b/>
          <w:bCs/>
          <w:sz w:val="22"/>
          <w:szCs w:val="22"/>
        </w:rPr>
        <w:t xml:space="preserve">jelentős </w:t>
      </w:r>
      <w:r w:rsidR="00217EDE" w:rsidRPr="002A5BE8">
        <w:rPr>
          <w:b/>
          <w:bCs/>
          <w:sz w:val="22"/>
          <w:szCs w:val="22"/>
        </w:rPr>
        <w:t>tételben</w:t>
      </w:r>
      <w:r w:rsidRPr="002A5BE8">
        <w:rPr>
          <w:b/>
          <w:bCs/>
          <w:sz w:val="22"/>
          <w:szCs w:val="22"/>
        </w:rPr>
        <w:t xml:space="preserve"> működésre</w:t>
      </w:r>
      <w:r w:rsidR="00FE7580" w:rsidRPr="002A5BE8">
        <w:rPr>
          <w:b/>
          <w:bCs/>
          <w:sz w:val="22"/>
          <w:szCs w:val="22"/>
        </w:rPr>
        <w:t xml:space="preserve"> </w:t>
      </w:r>
      <w:r w:rsidR="00A62644" w:rsidRPr="002A5BE8">
        <w:rPr>
          <w:b/>
          <w:bCs/>
          <w:sz w:val="22"/>
          <w:szCs w:val="22"/>
        </w:rPr>
        <w:t xml:space="preserve">és </w:t>
      </w:r>
      <w:r w:rsidR="00961F42" w:rsidRPr="002A5BE8">
        <w:rPr>
          <w:b/>
          <w:bCs/>
          <w:sz w:val="22"/>
          <w:szCs w:val="22"/>
        </w:rPr>
        <w:t>többletberuházások</w:t>
      </w:r>
      <w:r w:rsidR="00A62644" w:rsidRPr="002A5BE8">
        <w:rPr>
          <w:b/>
          <w:bCs/>
          <w:sz w:val="22"/>
          <w:szCs w:val="22"/>
        </w:rPr>
        <w:t>ra</w:t>
      </w:r>
      <w:r w:rsidR="00961F42" w:rsidRPr="002A5BE8">
        <w:rPr>
          <w:b/>
          <w:bCs/>
          <w:sz w:val="22"/>
          <w:szCs w:val="22"/>
        </w:rPr>
        <w:t xml:space="preserve"> </w:t>
      </w:r>
      <w:r w:rsidR="00A62644" w:rsidRPr="002A5BE8">
        <w:rPr>
          <w:b/>
          <w:bCs/>
          <w:sz w:val="22"/>
          <w:szCs w:val="22"/>
        </w:rPr>
        <w:t>került elköltésre.</w:t>
      </w:r>
      <w:r w:rsidR="00A62644" w:rsidRPr="002A5BE8">
        <w:rPr>
          <w:sz w:val="22"/>
          <w:szCs w:val="22"/>
          <w:highlight w:val="yellow"/>
        </w:rPr>
        <w:t xml:space="preserve"> </w:t>
      </w:r>
    </w:p>
    <w:p w14:paraId="1DB04AC5" w14:textId="77777777" w:rsidR="00A62644" w:rsidRPr="002A5BE8" w:rsidRDefault="00A62644" w:rsidP="00CA7CB3">
      <w:pPr>
        <w:suppressAutoHyphens w:val="0"/>
        <w:overflowPunct/>
        <w:autoSpaceDE/>
        <w:jc w:val="both"/>
        <w:rPr>
          <w:sz w:val="22"/>
          <w:szCs w:val="22"/>
        </w:rPr>
      </w:pPr>
    </w:p>
    <w:p w14:paraId="62A0AFAE" w14:textId="1119302D" w:rsidR="00E87959" w:rsidRPr="002A5BE8" w:rsidRDefault="007C2ABA" w:rsidP="00CA7CB3">
      <w:pPr>
        <w:suppressAutoHyphens w:val="0"/>
        <w:overflowPunct/>
        <w:autoSpaceDE/>
        <w:jc w:val="both"/>
        <w:rPr>
          <w:sz w:val="22"/>
          <w:szCs w:val="22"/>
        </w:rPr>
      </w:pPr>
      <w:r w:rsidRPr="002A5BE8">
        <w:rPr>
          <w:sz w:val="22"/>
          <w:szCs w:val="22"/>
        </w:rPr>
        <w:t>Hangsúlyozni kell, hogy önmagában az, hogy egy költségvetés kiadási, és bevételi oldala megegyezik, nem teszi azt fenntarthatóvá. Egyértelműen látszik ugyanis, hogy az elmúlt két évben két több száz millió forintos bevételi forrás (</w:t>
      </w:r>
      <w:r w:rsidRPr="002A5BE8">
        <w:rPr>
          <w:i/>
          <w:iCs/>
          <w:sz w:val="22"/>
          <w:szCs w:val="22"/>
        </w:rPr>
        <w:t>az ingatlan értékesítések és a költségvetési maradvány</w:t>
      </w:r>
      <w:r w:rsidRPr="002A5BE8">
        <w:rPr>
          <w:sz w:val="22"/>
          <w:szCs w:val="22"/>
        </w:rPr>
        <w:t>) ne</w:t>
      </w:r>
      <w:r w:rsidR="00F74F5F" w:rsidRPr="002A5BE8">
        <w:rPr>
          <w:sz w:val="22"/>
          <w:szCs w:val="22"/>
        </w:rPr>
        <w:t xml:space="preserve">m </w:t>
      </w:r>
      <w:r w:rsidRPr="002A5BE8">
        <w:rPr>
          <w:sz w:val="22"/>
          <w:szCs w:val="22"/>
        </w:rPr>
        <w:t xml:space="preserve">úgy lett felhasználva, hogy ezek hosszú távon megalapozzák a bevételi oldal szinten tartását. Éppen ellenkezőleg, a működési </w:t>
      </w:r>
      <w:r w:rsidR="00A62644" w:rsidRPr="002A5BE8">
        <w:rPr>
          <w:sz w:val="22"/>
          <w:szCs w:val="22"/>
        </w:rPr>
        <w:t xml:space="preserve">és felhalmozási </w:t>
      </w:r>
      <w:r w:rsidRPr="002A5BE8">
        <w:rPr>
          <w:sz w:val="22"/>
          <w:szCs w:val="22"/>
        </w:rPr>
        <w:t xml:space="preserve">költségek olyan növekedésének adtak teret, ami két év alatt (2023-2024) „térdre kényszerítette” a költségvetést, és egy </w:t>
      </w:r>
      <w:r w:rsidR="00E87959" w:rsidRPr="002A5BE8">
        <w:rPr>
          <w:sz w:val="22"/>
          <w:szCs w:val="22"/>
        </w:rPr>
        <w:t xml:space="preserve">640 millió forintos költségvetési maradványt mára 18 millió forintra apasztott le, és </w:t>
      </w:r>
      <w:r w:rsidR="00217EDE" w:rsidRPr="002A5BE8">
        <w:rPr>
          <w:sz w:val="22"/>
          <w:szCs w:val="22"/>
        </w:rPr>
        <w:t xml:space="preserve">ezen felül </w:t>
      </w:r>
      <w:r w:rsidR="00E87959" w:rsidRPr="002A5BE8">
        <w:rPr>
          <w:sz w:val="22"/>
          <w:szCs w:val="22"/>
        </w:rPr>
        <w:t>egy több mint 270 millió forintos rést ütött 2025-re a költségvetés</w:t>
      </w:r>
      <w:r w:rsidR="00217EDE" w:rsidRPr="002A5BE8">
        <w:rPr>
          <w:sz w:val="22"/>
          <w:szCs w:val="22"/>
        </w:rPr>
        <w:t xml:space="preserve"> működési kiadásainak oldalán</w:t>
      </w:r>
      <w:r w:rsidR="00E87959" w:rsidRPr="002A5BE8">
        <w:rPr>
          <w:sz w:val="22"/>
          <w:szCs w:val="22"/>
        </w:rPr>
        <w:t xml:space="preserve"> – ha a 2024</w:t>
      </w:r>
      <w:r w:rsidR="00A62644" w:rsidRPr="002A5BE8">
        <w:rPr>
          <w:sz w:val="22"/>
          <w:szCs w:val="22"/>
        </w:rPr>
        <w:t>. évi</w:t>
      </w:r>
      <w:r w:rsidR="00E87959" w:rsidRPr="002A5BE8">
        <w:rPr>
          <w:sz w:val="22"/>
          <w:szCs w:val="22"/>
        </w:rPr>
        <w:t xml:space="preserve"> működési kiadásokat szinten akarjuk tartani (és beruházást egyáltalán nem is számolunk).</w:t>
      </w:r>
    </w:p>
    <w:p w14:paraId="65B9CD7C" w14:textId="77777777" w:rsidR="00E87959" w:rsidRPr="002A5BE8" w:rsidRDefault="00E87959" w:rsidP="00CA7CB3">
      <w:pPr>
        <w:suppressAutoHyphens w:val="0"/>
        <w:overflowPunct/>
        <w:autoSpaceDE/>
        <w:jc w:val="both"/>
        <w:rPr>
          <w:sz w:val="22"/>
          <w:szCs w:val="22"/>
        </w:rPr>
      </w:pPr>
    </w:p>
    <w:p w14:paraId="36D36CD9" w14:textId="5A584C99" w:rsidR="007C2ABA" w:rsidRPr="002A5BE8" w:rsidRDefault="00E87959" w:rsidP="00CA7CB3">
      <w:pPr>
        <w:suppressAutoHyphens w:val="0"/>
        <w:overflowPunct/>
        <w:autoSpaceDE/>
        <w:jc w:val="both"/>
        <w:rPr>
          <w:sz w:val="22"/>
          <w:szCs w:val="22"/>
        </w:rPr>
      </w:pPr>
      <w:r w:rsidRPr="002A5BE8">
        <w:rPr>
          <w:sz w:val="22"/>
          <w:szCs w:val="22"/>
        </w:rPr>
        <w:t>(Ehhez a hiányhoz jönne még az iparűzési adóbevétel csökkenése, a szolidaritási hozzájárulás többlet terhe, illetve az óvodapedagógusok béremelése</w:t>
      </w:r>
      <w:r w:rsidR="00217EDE" w:rsidRPr="002A5BE8">
        <w:rPr>
          <w:sz w:val="22"/>
          <w:szCs w:val="22"/>
        </w:rPr>
        <w:t xml:space="preserve"> a 2025-ös évre</w:t>
      </w:r>
      <w:r w:rsidRPr="002A5BE8">
        <w:rPr>
          <w:sz w:val="22"/>
          <w:szCs w:val="22"/>
        </w:rPr>
        <w:t>. Ezeket az összegeket (cca. 125 millió forint) nagyjából a novemberi adóemelésből, illetve kedvezmény csökkentésből</w:t>
      </w:r>
      <w:r w:rsidR="00A62644" w:rsidRPr="002A5BE8">
        <w:rPr>
          <w:sz w:val="22"/>
          <w:szCs w:val="22"/>
        </w:rPr>
        <w:t xml:space="preserve"> a tervek szerint</w:t>
      </w:r>
      <w:r w:rsidRPr="002A5BE8">
        <w:rPr>
          <w:sz w:val="22"/>
          <w:szCs w:val="22"/>
        </w:rPr>
        <w:t xml:space="preserve"> </w:t>
      </w:r>
      <w:r w:rsidR="00217EDE" w:rsidRPr="002A5BE8">
        <w:rPr>
          <w:sz w:val="22"/>
          <w:szCs w:val="22"/>
        </w:rPr>
        <w:t>sikerül</w:t>
      </w:r>
      <w:r w:rsidRPr="002A5BE8">
        <w:rPr>
          <w:sz w:val="22"/>
          <w:szCs w:val="22"/>
        </w:rPr>
        <w:t xml:space="preserve"> kigazdálkodni.)</w:t>
      </w:r>
    </w:p>
    <w:p w14:paraId="49D02FE8" w14:textId="77777777" w:rsidR="00E87959" w:rsidRPr="002A5BE8" w:rsidRDefault="00E87959" w:rsidP="00CA7CB3">
      <w:pPr>
        <w:suppressAutoHyphens w:val="0"/>
        <w:overflowPunct/>
        <w:autoSpaceDE/>
        <w:jc w:val="both"/>
        <w:rPr>
          <w:sz w:val="22"/>
          <w:szCs w:val="22"/>
        </w:rPr>
      </w:pPr>
    </w:p>
    <w:p w14:paraId="3D68A763" w14:textId="7160110A" w:rsidR="008D16BE" w:rsidRPr="002A5BE8" w:rsidRDefault="005E4459" w:rsidP="00CA7CB3">
      <w:pPr>
        <w:suppressAutoHyphens w:val="0"/>
        <w:overflowPunct/>
        <w:autoSpaceDE/>
        <w:jc w:val="both"/>
        <w:rPr>
          <w:b/>
          <w:bCs/>
          <w:sz w:val="22"/>
          <w:szCs w:val="22"/>
        </w:rPr>
      </w:pPr>
      <w:r w:rsidRPr="002A5BE8">
        <w:rPr>
          <w:b/>
          <w:bCs/>
          <w:sz w:val="22"/>
          <w:szCs w:val="22"/>
        </w:rPr>
        <w:t xml:space="preserve">I.3. </w:t>
      </w:r>
      <w:r w:rsidR="008D16BE" w:rsidRPr="002A5BE8">
        <w:rPr>
          <w:b/>
          <w:bCs/>
          <w:sz w:val="22"/>
          <w:szCs w:val="22"/>
        </w:rPr>
        <w:t>Ingatlanértékesítések</w:t>
      </w:r>
    </w:p>
    <w:p w14:paraId="57F96E33" w14:textId="77777777" w:rsidR="008D16BE" w:rsidRPr="002A5BE8" w:rsidRDefault="008D16BE" w:rsidP="00CA7CB3">
      <w:pPr>
        <w:suppressAutoHyphens w:val="0"/>
        <w:overflowPunct/>
        <w:autoSpaceDE/>
        <w:jc w:val="both"/>
        <w:rPr>
          <w:b/>
          <w:bCs/>
          <w:sz w:val="22"/>
          <w:szCs w:val="22"/>
        </w:rPr>
      </w:pPr>
    </w:p>
    <w:p w14:paraId="1213F626" w14:textId="5BC818A1" w:rsidR="00217EDE" w:rsidRPr="002A5BE8" w:rsidRDefault="00217EDE" w:rsidP="00CA7CB3">
      <w:pPr>
        <w:suppressAutoHyphens w:val="0"/>
        <w:overflowPunct/>
        <w:autoSpaceDE/>
        <w:jc w:val="both"/>
        <w:rPr>
          <w:sz w:val="22"/>
          <w:szCs w:val="22"/>
        </w:rPr>
      </w:pPr>
      <w:r w:rsidRPr="002A5BE8">
        <w:rPr>
          <w:sz w:val="22"/>
          <w:szCs w:val="22"/>
        </w:rPr>
        <w:t>A költségvetési maradvány mellett fontos külön is megvizsgálni az ingatlan értékesítések témakörét. Az elmúlt évek számait az alábbi táblázat foglalja össze.</w:t>
      </w:r>
    </w:p>
    <w:p w14:paraId="6D354C49" w14:textId="77777777" w:rsidR="00FE7580" w:rsidRPr="002A5BE8" w:rsidRDefault="00FE7580" w:rsidP="00CA7CB3">
      <w:pPr>
        <w:suppressAutoHyphens w:val="0"/>
        <w:overflowPunct/>
        <w:autoSpaceDE/>
        <w:jc w:val="both"/>
        <w:rPr>
          <w:sz w:val="22"/>
          <w:szCs w:val="22"/>
        </w:rPr>
      </w:pPr>
    </w:p>
    <w:p w14:paraId="72FE39B0" w14:textId="77777777" w:rsidR="00217EDE" w:rsidRPr="002A5BE8" w:rsidRDefault="00217EDE" w:rsidP="00CA7CB3">
      <w:pPr>
        <w:suppressAutoHyphens w:val="0"/>
        <w:overflowPunct/>
        <w:autoSpaceDE/>
        <w:jc w:val="both"/>
        <w:rPr>
          <w:sz w:val="22"/>
          <w:szCs w:val="22"/>
        </w:rPr>
      </w:pPr>
    </w:p>
    <w:tbl>
      <w:tblPr>
        <w:tblW w:w="6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2"/>
        <w:gridCol w:w="1556"/>
        <w:gridCol w:w="1560"/>
        <w:gridCol w:w="1342"/>
        <w:gridCol w:w="1418"/>
      </w:tblGrid>
      <w:tr w:rsidR="008D16BE" w:rsidRPr="002A5BE8" w14:paraId="226E4C7E" w14:textId="77777777" w:rsidTr="008D16BE">
        <w:trPr>
          <w:trHeight w:val="288"/>
          <w:jc w:val="center"/>
        </w:trPr>
        <w:tc>
          <w:tcPr>
            <w:tcW w:w="702" w:type="dxa"/>
            <w:noWrap/>
            <w:tcMar>
              <w:top w:w="0" w:type="dxa"/>
              <w:left w:w="70" w:type="dxa"/>
              <w:bottom w:w="0" w:type="dxa"/>
              <w:right w:w="70" w:type="dxa"/>
            </w:tcMar>
            <w:vAlign w:val="bottom"/>
            <w:hideMark/>
          </w:tcPr>
          <w:p w14:paraId="2CFC36FE" w14:textId="16735AD4" w:rsidR="008D16BE" w:rsidRPr="002A5BE8" w:rsidRDefault="008D16BE" w:rsidP="008D16BE">
            <w:pPr>
              <w:suppressAutoHyphens w:val="0"/>
              <w:overflowPunct/>
              <w:autoSpaceDE/>
              <w:jc w:val="both"/>
              <w:rPr>
                <w:b/>
                <w:bCs/>
                <w:sz w:val="22"/>
                <w:szCs w:val="22"/>
              </w:rPr>
            </w:pPr>
          </w:p>
        </w:tc>
        <w:tc>
          <w:tcPr>
            <w:tcW w:w="1556" w:type="dxa"/>
            <w:noWrap/>
            <w:tcMar>
              <w:top w:w="0" w:type="dxa"/>
              <w:left w:w="70" w:type="dxa"/>
              <w:bottom w:w="0" w:type="dxa"/>
              <w:right w:w="70" w:type="dxa"/>
            </w:tcMar>
            <w:vAlign w:val="bottom"/>
            <w:hideMark/>
          </w:tcPr>
          <w:p w14:paraId="62D66771" w14:textId="2631BD26" w:rsidR="008D16BE" w:rsidRPr="002A5BE8" w:rsidRDefault="008D16BE" w:rsidP="008D16BE">
            <w:pPr>
              <w:suppressAutoHyphens w:val="0"/>
              <w:overflowPunct/>
              <w:autoSpaceDE/>
              <w:jc w:val="both"/>
              <w:rPr>
                <w:b/>
                <w:bCs/>
                <w:sz w:val="22"/>
                <w:szCs w:val="22"/>
              </w:rPr>
            </w:pPr>
            <w:r w:rsidRPr="002A5BE8">
              <w:rPr>
                <w:b/>
                <w:bCs/>
                <w:sz w:val="22"/>
                <w:szCs w:val="22"/>
              </w:rPr>
              <w:t>Terv (ezer)</w:t>
            </w:r>
          </w:p>
        </w:tc>
        <w:tc>
          <w:tcPr>
            <w:tcW w:w="1560" w:type="dxa"/>
            <w:noWrap/>
            <w:tcMar>
              <w:top w:w="0" w:type="dxa"/>
              <w:left w:w="70" w:type="dxa"/>
              <w:bottom w:w="0" w:type="dxa"/>
              <w:right w:w="70" w:type="dxa"/>
            </w:tcMar>
            <w:vAlign w:val="bottom"/>
            <w:hideMark/>
          </w:tcPr>
          <w:p w14:paraId="564B4A98" w14:textId="36E77E72" w:rsidR="008D16BE" w:rsidRPr="002A5BE8" w:rsidRDefault="008D16BE" w:rsidP="008D16BE">
            <w:pPr>
              <w:suppressAutoHyphens w:val="0"/>
              <w:overflowPunct/>
              <w:autoSpaceDE/>
              <w:jc w:val="both"/>
              <w:rPr>
                <w:b/>
                <w:bCs/>
                <w:sz w:val="22"/>
                <w:szCs w:val="22"/>
              </w:rPr>
            </w:pPr>
            <w:r w:rsidRPr="002A5BE8">
              <w:rPr>
                <w:b/>
                <w:bCs/>
                <w:sz w:val="22"/>
                <w:szCs w:val="22"/>
              </w:rPr>
              <w:t>Tényleges</w:t>
            </w:r>
          </w:p>
        </w:tc>
        <w:tc>
          <w:tcPr>
            <w:tcW w:w="1342" w:type="dxa"/>
            <w:noWrap/>
            <w:tcMar>
              <w:top w:w="0" w:type="dxa"/>
              <w:left w:w="70" w:type="dxa"/>
              <w:bottom w:w="0" w:type="dxa"/>
              <w:right w:w="70" w:type="dxa"/>
            </w:tcMar>
            <w:vAlign w:val="bottom"/>
            <w:hideMark/>
          </w:tcPr>
          <w:p w14:paraId="21797C51" w14:textId="02912DDB" w:rsidR="008D16BE" w:rsidRPr="002A5BE8" w:rsidRDefault="008D16BE" w:rsidP="008D16BE">
            <w:pPr>
              <w:suppressAutoHyphens w:val="0"/>
              <w:overflowPunct/>
              <w:autoSpaceDE/>
              <w:jc w:val="both"/>
              <w:rPr>
                <w:b/>
                <w:bCs/>
                <w:sz w:val="22"/>
                <w:szCs w:val="22"/>
              </w:rPr>
            </w:pPr>
            <w:r w:rsidRPr="002A5BE8">
              <w:rPr>
                <w:b/>
                <w:bCs/>
                <w:sz w:val="22"/>
                <w:szCs w:val="22"/>
              </w:rPr>
              <w:t xml:space="preserve">Ipari </w:t>
            </w:r>
          </w:p>
        </w:tc>
        <w:tc>
          <w:tcPr>
            <w:tcW w:w="1418" w:type="dxa"/>
            <w:noWrap/>
            <w:tcMar>
              <w:top w:w="0" w:type="dxa"/>
              <w:left w:w="70" w:type="dxa"/>
              <w:bottom w:w="0" w:type="dxa"/>
              <w:right w:w="70" w:type="dxa"/>
            </w:tcMar>
            <w:vAlign w:val="bottom"/>
            <w:hideMark/>
          </w:tcPr>
          <w:p w14:paraId="4CA2F3C3" w14:textId="1698E4DB" w:rsidR="008D16BE" w:rsidRPr="002A5BE8" w:rsidRDefault="008D16BE" w:rsidP="008D16BE">
            <w:pPr>
              <w:suppressAutoHyphens w:val="0"/>
              <w:overflowPunct/>
              <w:autoSpaceDE/>
              <w:jc w:val="both"/>
              <w:rPr>
                <w:b/>
                <w:bCs/>
                <w:sz w:val="22"/>
                <w:szCs w:val="22"/>
              </w:rPr>
            </w:pPr>
            <w:r w:rsidRPr="002A5BE8">
              <w:rPr>
                <w:b/>
                <w:bCs/>
                <w:sz w:val="22"/>
                <w:szCs w:val="22"/>
              </w:rPr>
              <w:t xml:space="preserve">Építési </w:t>
            </w:r>
          </w:p>
        </w:tc>
      </w:tr>
      <w:tr w:rsidR="008D16BE" w:rsidRPr="002A5BE8" w14:paraId="44A8162B" w14:textId="77777777" w:rsidTr="008D16BE">
        <w:trPr>
          <w:trHeight w:val="312"/>
          <w:jc w:val="center"/>
        </w:trPr>
        <w:tc>
          <w:tcPr>
            <w:tcW w:w="702" w:type="dxa"/>
            <w:noWrap/>
            <w:tcMar>
              <w:top w:w="0" w:type="dxa"/>
              <w:left w:w="70" w:type="dxa"/>
              <w:bottom w:w="0" w:type="dxa"/>
              <w:right w:w="70" w:type="dxa"/>
            </w:tcMar>
            <w:vAlign w:val="bottom"/>
            <w:hideMark/>
          </w:tcPr>
          <w:p w14:paraId="5B870F74" w14:textId="438342FA" w:rsidR="008D16BE" w:rsidRPr="002A5BE8" w:rsidRDefault="008D16BE" w:rsidP="008D16BE">
            <w:pPr>
              <w:suppressAutoHyphens w:val="0"/>
              <w:overflowPunct/>
              <w:autoSpaceDE/>
              <w:jc w:val="both"/>
              <w:rPr>
                <w:b/>
                <w:bCs/>
                <w:sz w:val="22"/>
                <w:szCs w:val="22"/>
              </w:rPr>
            </w:pPr>
            <w:r w:rsidRPr="002A5BE8">
              <w:rPr>
                <w:b/>
                <w:bCs/>
                <w:sz w:val="22"/>
                <w:szCs w:val="22"/>
              </w:rPr>
              <w:t>2022</w:t>
            </w:r>
          </w:p>
        </w:tc>
        <w:tc>
          <w:tcPr>
            <w:tcW w:w="1556" w:type="dxa"/>
            <w:noWrap/>
            <w:tcMar>
              <w:top w:w="0" w:type="dxa"/>
              <w:left w:w="70" w:type="dxa"/>
              <w:bottom w:w="0" w:type="dxa"/>
              <w:right w:w="70" w:type="dxa"/>
            </w:tcMar>
            <w:vAlign w:val="bottom"/>
            <w:hideMark/>
          </w:tcPr>
          <w:p w14:paraId="6768AB3B" w14:textId="2620E360" w:rsidR="008D16BE" w:rsidRPr="002A5BE8" w:rsidRDefault="008D16BE" w:rsidP="008D16BE">
            <w:pPr>
              <w:suppressAutoHyphens w:val="0"/>
              <w:overflowPunct/>
              <w:autoSpaceDE/>
              <w:jc w:val="right"/>
              <w:rPr>
                <w:b/>
                <w:bCs/>
                <w:sz w:val="22"/>
                <w:szCs w:val="22"/>
              </w:rPr>
            </w:pPr>
            <w:r w:rsidRPr="002A5BE8">
              <w:rPr>
                <w:b/>
                <w:bCs/>
                <w:sz w:val="22"/>
                <w:szCs w:val="22"/>
              </w:rPr>
              <w:t xml:space="preserve">240 000 000  </w:t>
            </w:r>
          </w:p>
        </w:tc>
        <w:tc>
          <w:tcPr>
            <w:tcW w:w="1560" w:type="dxa"/>
            <w:noWrap/>
            <w:tcMar>
              <w:top w:w="0" w:type="dxa"/>
              <w:left w:w="70" w:type="dxa"/>
              <w:bottom w:w="0" w:type="dxa"/>
              <w:right w:w="70" w:type="dxa"/>
            </w:tcMar>
            <w:vAlign w:val="bottom"/>
            <w:hideMark/>
          </w:tcPr>
          <w:p w14:paraId="357DEB53" w14:textId="77777777" w:rsidR="008D16BE" w:rsidRPr="002A5BE8" w:rsidRDefault="008D16BE" w:rsidP="008D16BE">
            <w:pPr>
              <w:suppressAutoHyphens w:val="0"/>
              <w:overflowPunct/>
              <w:autoSpaceDE/>
              <w:jc w:val="right"/>
              <w:rPr>
                <w:b/>
                <w:bCs/>
                <w:sz w:val="22"/>
                <w:szCs w:val="22"/>
              </w:rPr>
            </w:pPr>
            <w:r w:rsidRPr="002A5BE8">
              <w:rPr>
                <w:b/>
                <w:bCs/>
                <w:sz w:val="22"/>
                <w:szCs w:val="22"/>
              </w:rPr>
              <w:t>299 145 858</w:t>
            </w:r>
          </w:p>
        </w:tc>
        <w:tc>
          <w:tcPr>
            <w:tcW w:w="1342" w:type="dxa"/>
            <w:noWrap/>
            <w:tcMar>
              <w:top w:w="0" w:type="dxa"/>
              <w:left w:w="70" w:type="dxa"/>
              <w:bottom w:w="0" w:type="dxa"/>
              <w:right w:w="70" w:type="dxa"/>
            </w:tcMar>
            <w:vAlign w:val="bottom"/>
            <w:hideMark/>
          </w:tcPr>
          <w:p w14:paraId="3AB9906A" w14:textId="77777777" w:rsidR="008D16BE" w:rsidRPr="002A5BE8" w:rsidRDefault="008D16BE" w:rsidP="008D16BE">
            <w:pPr>
              <w:suppressAutoHyphens w:val="0"/>
              <w:overflowPunct/>
              <w:autoSpaceDE/>
              <w:jc w:val="right"/>
              <w:rPr>
                <w:b/>
                <w:bCs/>
                <w:sz w:val="22"/>
                <w:szCs w:val="22"/>
              </w:rPr>
            </w:pPr>
            <w:r w:rsidRPr="002A5BE8">
              <w:rPr>
                <w:b/>
                <w:bCs/>
                <w:sz w:val="22"/>
                <w:szCs w:val="22"/>
              </w:rPr>
              <w:t>185 039 370</w:t>
            </w:r>
          </w:p>
        </w:tc>
        <w:tc>
          <w:tcPr>
            <w:tcW w:w="1418" w:type="dxa"/>
            <w:noWrap/>
            <w:tcMar>
              <w:top w:w="0" w:type="dxa"/>
              <w:left w:w="70" w:type="dxa"/>
              <w:bottom w:w="0" w:type="dxa"/>
              <w:right w:w="70" w:type="dxa"/>
            </w:tcMar>
            <w:vAlign w:val="bottom"/>
            <w:hideMark/>
          </w:tcPr>
          <w:p w14:paraId="7BE6145C" w14:textId="77777777" w:rsidR="008D16BE" w:rsidRPr="002A5BE8" w:rsidRDefault="008D16BE" w:rsidP="008D16BE">
            <w:pPr>
              <w:suppressAutoHyphens w:val="0"/>
              <w:overflowPunct/>
              <w:autoSpaceDE/>
              <w:jc w:val="right"/>
              <w:rPr>
                <w:b/>
                <w:bCs/>
                <w:sz w:val="22"/>
                <w:szCs w:val="22"/>
              </w:rPr>
            </w:pPr>
            <w:r w:rsidRPr="002A5BE8">
              <w:rPr>
                <w:b/>
                <w:bCs/>
                <w:sz w:val="22"/>
                <w:szCs w:val="22"/>
              </w:rPr>
              <w:t>114 106 488</w:t>
            </w:r>
          </w:p>
        </w:tc>
      </w:tr>
      <w:tr w:rsidR="008D16BE" w:rsidRPr="002A5BE8" w14:paraId="17123163" w14:textId="77777777" w:rsidTr="008D16BE">
        <w:trPr>
          <w:trHeight w:val="312"/>
          <w:jc w:val="center"/>
        </w:trPr>
        <w:tc>
          <w:tcPr>
            <w:tcW w:w="702" w:type="dxa"/>
            <w:noWrap/>
            <w:tcMar>
              <w:top w:w="0" w:type="dxa"/>
              <w:left w:w="70" w:type="dxa"/>
              <w:bottom w:w="0" w:type="dxa"/>
              <w:right w:w="70" w:type="dxa"/>
            </w:tcMar>
            <w:vAlign w:val="bottom"/>
            <w:hideMark/>
          </w:tcPr>
          <w:p w14:paraId="7F673620" w14:textId="32AA1F65" w:rsidR="008D16BE" w:rsidRPr="002A5BE8" w:rsidRDefault="008D16BE" w:rsidP="008D16BE">
            <w:pPr>
              <w:suppressAutoHyphens w:val="0"/>
              <w:overflowPunct/>
              <w:autoSpaceDE/>
              <w:jc w:val="both"/>
              <w:rPr>
                <w:b/>
                <w:bCs/>
                <w:sz w:val="22"/>
                <w:szCs w:val="22"/>
              </w:rPr>
            </w:pPr>
            <w:r w:rsidRPr="002A5BE8">
              <w:rPr>
                <w:b/>
                <w:bCs/>
                <w:sz w:val="22"/>
                <w:szCs w:val="22"/>
              </w:rPr>
              <w:t>2023</w:t>
            </w:r>
          </w:p>
        </w:tc>
        <w:tc>
          <w:tcPr>
            <w:tcW w:w="1556" w:type="dxa"/>
            <w:noWrap/>
            <w:tcMar>
              <w:top w:w="0" w:type="dxa"/>
              <w:left w:w="70" w:type="dxa"/>
              <w:bottom w:w="0" w:type="dxa"/>
              <w:right w:w="70" w:type="dxa"/>
            </w:tcMar>
            <w:vAlign w:val="bottom"/>
            <w:hideMark/>
          </w:tcPr>
          <w:p w14:paraId="359466E8" w14:textId="76D3CDDC" w:rsidR="008D16BE" w:rsidRPr="002A5BE8" w:rsidRDefault="008D16BE" w:rsidP="008D16BE">
            <w:pPr>
              <w:suppressAutoHyphens w:val="0"/>
              <w:overflowPunct/>
              <w:autoSpaceDE/>
              <w:jc w:val="right"/>
              <w:rPr>
                <w:b/>
                <w:bCs/>
                <w:sz w:val="22"/>
                <w:szCs w:val="22"/>
              </w:rPr>
            </w:pPr>
            <w:r w:rsidRPr="002A5BE8">
              <w:rPr>
                <w:b/>
                <w:bCs/>
                <w:sz w:val="22"/>
                <w:szCs w:val="22"/>
              </w:rPr>
              <w:t xml:space="preserve">388 000 000  </w:t>
            </w:r>
          </w:p>
        </w:tc>
        <w:tc>
          <w:tcPr>
            <w:tcW w:w="1560" w:type="dxa"/>
            <w:noWrap/>
            <w:tcMar>
              <w:top w:w="0" w:type="dxa"/>
              <w:left w:w="70" w:type="dxa"/>
              <w:bottom w:w="0" w:type="dxa"/>
              <w:right w:w="70" w:type="dxa"/>
            </w:tcMar>
            <w:vAlign w:val="bottom"/>
            <w:hideMark/>
          </w:tcPr>
          <w:p w14:paraId="193CA0BC" w14:textId="77777777" w:rsidR="008D16BE" w:rsidRPr="002A5BE8" w:rsidRDefault="008D16BE" w:rsidP="008D16BE">
            <w:pPr>
              <w:suppressAutoHyphens w:val="0"/>
              <w:overflowPunct/>
              <w:autoSpaceDE/>
              <w:jc w:val="right"/>
              <w:rPr>
                <w:b/>
                <w:bCs/>
                <w:sz w:val="22"/>
                <w:szCs w:val="22"/>
              </w:rPr>
            </w:pPr>
            <w:r w:rsidRPr="002A5BE8">
              <w:rPr>
                <w:b/>
                <w:bCs/>
                <w:sz w:val="22"/>
                <w:szCs w:val="22"/>
              </w:rPr>
              <w:t>132 155 535</w:t>
            </w:r>
          </w:p>
        </w:tc>
        <w:tc>
          <w:tcPr>
            <w:tcW w:w="1342" w:type="dxa"/>
            <w:noWrap/>
            <w:tcMar>
              <w:top w:w="0" w:type="dxa"/>
              <w:left w:w="70" w:type="dxa"/>
              <w:bottom w:w="0" w:type="dxa"/>
              <w:right w:w="70" w:type="dxa"/>
            </w:tcMar>
            <w:vAlign w:val="bottom"/>
            <w:hideMark/>
          </w:tcPr>
          <w:p w14:paraId="45EF0697" w14:textId="77777777" w:rsidR="008D16BE" w:rsidRPr="002A5BE8" w:rsidRDefault="008D16BE" w:rsidP="008D16BE">
            <w:pPr>
              <w:suppressAutoHyphens w:val="0"/>
              <w:overflowPunct/>
              <w:autoSpaceDE/>
              <w:jc w:val="right"/>
              <w:rPr>
                <w:b/>
                <w:bCs/>
                <w:sz w:val="22"/>
                <w:szCs w:val="22"/>
              </w:rPr>
            </w:pPr>
            <w:r w:rsidRPr="002A5BE8">
              <w:rPr>
                <w:b/>
                <w:bCs/>
                <w:sz w:val="22"/>
                <w:szCs w:val="22"/>
              </w:rPr>
              <w:t>88 716 535</w:t>
            </w:r>
          </w:p>
        </w:tc>
        <w:tc>
          <w:tcPr>
            <w:tcW w:w="1418" w:type="dxa"/>
            <w:noWrap/>
            <w:tcMar>
              <w:top w:w="0" w:type="dxa"/>
              <w:left w:w="70" w:type="dxa"/>
              <w:bottom w:w="0" w:type="dxa"/>
              <w:right w:w="70" w:type="dxa"/>
            </w:tcMar>
            <w:vAlign w:val="bottom"/>
            <w:hideMark/>
          </w:tcPr>
          <w:p w14:paraId="7DDCB4D4" w14:textId="77777777" w:rsidR="008D16BE" w:rsidRPr="002A5BE8" w:rsidRDefault="008D16BE" w:rsidP="008D16BE">
            <w:pPr>
              <w:suppressAutoHyphens w:val="0"/>
              <w:overflowPunct/>
              <w:autoSpaceDE/>
              <w:jc w:val="right"/>
              <w:rPr>
                <w:b/>
                <w:bCs/>
                <w:sz w:val="22"/>
                <w:szCs w:val="22"/>
              </w:rPr>
            </w:pPr>
            <w:r w:rsidRPr="002A5BE8">
              <w:rPr>
                <w:b/>
                <w:bCs/>
                <w:sz w:val="22"/>
                <w:szCs w:val="22"/>
              </w:rPr>
              <w:t>43 439 000</w:t>
            </w:r>
          </w:p>
        </w:tc>
      </w:tr>
      <w:tr w:rsidR="008D16BE" w:rsidRPr="002A5BE8" w14:paraId="20045F8D" w14:textId="77777777" w:rsidTr="008D16BE">
        <w:trPr>
          <w:trHeight w:val="288"/>
          <w:jc w:val="center"/>
        </w:trPr>
        <w:tc>
          <w:tcPr>
            <w:tcW w:w="702" w:type="dxa"/>
            <w:noWrap/>
            <w:tcMar>
              <w:top w:w="0" w:type="dxa"/>
              <w:left w:w="70" w:type="dxa"/>
              <w:bottom w:w="0" w:type="dxa"/>
              <w:right w:w="70" w:type="dxa"/>
            </w:tcMar>
            <w:vAlign w:val="bottom"/>
            <w:hideMark/>
          </w:tcPr>
          <w:p w14:paraId="2FFD6CEC" w14:textId="1837F35F" w:rsidR="008D16BE" w:rsidRPr="002A5BE8" w:rsidRDefault="008D16BE" w:rsidP="008D16BE">
            <w:pPr>
              <w:suppressAutoHyphens w:val="0"/>
              <w:overflowPunct/>
              <w:autoSpaceDE/>
              <w:jc w:val="both"/>
              <w:rPr>
                <w:b/>
                <w:bCs/>
                <w:sz w:val="22"/>
                <w:szCs w:val="22"/>
              </w:rPr>
            </w:pPr>
            <w:r w:rsidRPr="002A5BE8">
              <w:rPr>
                <w:b/>
                <w:bCs/>
                <w:sz w:val="22"/>
                <w:szCs w:val="22"/>
              </w:rPr>
              <w:t>2024</w:t>
            </w:r>
          </w:p>
        </w:tc>
        <w:tc>
          <w:tcPr>
            <w:tcW w:w="1556" w:type="dxa"/>
            <w:noWrap/>
            <w:tcMar>
              <w:top w:w="0" w:type="dxa"/>
              <w:left w:w="70" w:type="dxa"/>
              <w:bottom w:w="0" w:type="dxa"/>
              <w:right w:w="70" w:type="dxa"/>
            </w:tcMar>
            <w:vAlign w:val="bottom"/>
            <w:hideMark/>
          </w:tcPr>
          <w:p w14:paraId="284857ED" w14:textId="3F638A1C" w:rsidR="008D16BE" w:rsidRPr="002A5BE8" w:rsidRDefault="008D16BE" w:rsidP="008D16BE">
            <w:pPr>
              <w:suppressAutoHyphens w:val="0"/>
              <w:overflowPunct/>
              <w:autoSpaceDE/>
              <w:jc w:val="right"/>
              <w:rPr>
                <w:b/>
                <w:bCs/>
                <w:sz w:val="22"/>
                <w:szCs w:val="22"/>
              </w:rPr>
            </w:pPr>
            <w:r w:rsidRPr="002A5BE8">
              <w:rPr>
                <w:b/>
                <w:bCs/>
                <w:sz w:val="22"/>
                <w:szCs w:val="22"/>
              </w:rPr>
              <w:t xml:space="preserve">270 000 000  </w:t>
            </w:r>
          </w:p>
        </w:tc>
        <w:tc>
          <w:tcPr>
            <w:tcW w:w="1560" w:type="dxa"/>
            <w:noWrap/>
            <w:tcMar>
              <w:top w:w="0" w:type="dxa"/>
              <w:left w:w="70" w:type="dxa"/>
              <w:bottom w:w="0" w:type="dxa"/>
              <w:right w:w="70" w:type="dxa"/>
            </w:tcMar>
            <w:vAlign w:val="bottom"/>
            <w:hideMark/>
          </w:tcPr>
          <w:p w14:paraId="7A61EFCB" w14:textId="77777777" w:rsidR="008D16BE" w:rsidRPr="002A5BE8" w:rsidRDefault="008D16BE" w:rsidP="008D16BE">
            <w:pPr>
              <w:suppressAutoHyphens w:val="0"/>
              <w:overflowPunct/>
              <w:autoSpaceDE/>
              <w:jc w:val="right"/>
              <w:rPr>
                <w:b/>
                <w:bCs/>
                <w:sz w:val="22"/>
                <w:szCs w:val="22"/>
              </w:rPr>
            </w:pPr>
            <w:r w:rsidRPr="002A5BE8">
              <w:rPr>
                <w:b/>
                <w:bCs/>
                <w:sz w:val="22"/>
                <w:szCs w:val="22"/>
              </w:rPr>
              <w:t>67 844 291</w:t>
            </w:r>
          </w:p>
        </w:tc>
        <w:tc>
          <w:tcPr>
            <w:tcW w:w="1342" w:type="dxa"/>
            <w:noWrap/>
            <w:tcMar>
              <w:top w:w="0" w:type="dxa"/>
              <w:left w:w="70" w:type="dxa"/>
              <w:bottom w:w="0" w:type="dxa"/>
              <w:right w:w="70" w:type="dxa"/>
            </w:tcMar>
            <w:vAlign w:val="bottom"/>
            <w:hideMark/>
          </w:tcPr>
          <w:p w14:paraId="1A3930A4" w14:textId="77777777" w:rsidR="008D16BE" w:rsidRPr="002A5BE8" w:rsidRDefault="008D16BE" w:rsidP="008D16BE">
            <w:pPr>
              <w:suppressAutoHyphens w:val="0"/>
              <w:overflowPunct/>
              <w:autoSpaceDE/>
              <w:jc w:val="right"/>
              <w:rPr>
                <w:b/>
                <w:bCs/>
                <w:sz w:val="22"/>
                <w:szCs w:val="22"/>
              </w:rPr>
            </w:pPr>
            <w:r w:rsidRPr="002A5BE8">
              <w:rPr>
                <w:b/>
                <w:bCs/>
                <w:sz w:val="22"/>
                <w:szCs w:val="22"/>
              </w:rPr>
              <w:t>0</w:t>
            </w:r>
          </w:p>
        </w:tc>
        <w:tc>
          <w:tcPr>
            <w:tcW w:w="1418" w:type="dxa"/>
            <w:noWrap/>
            <w:tcMar>
              <w:top w:w="0" w:type="dxa"/>
              <w:left w:w="70" w:type="dxa"/>
              <w:bottom w:w="0" w:type="dxa"/>
              <w:right w:w="70" w:type="dxa"/>
            </w:tcMar>
            <w:vAlign w:val="bottom"/>
            <w:hideMark/>
          </w:tcPr>
          <w:p w14:paraId="1F0BBAA7" w14:textId="77777777" w:rsidR="008D16BE" w:rsidRPr="002A5BE8" w:rsidRDefault="008D16BE" w:rsidP="008D16BE">
            <w:pPr>
              <w:suppressAutoHyphens w:val="0"/>
              <w:overflowPunct/>
              <w:autoSpaceDE/>
              <w:jc w:val="right"/>
              <w:rPr>
                <w:b/>
                <w:bCs/>
                <w:sz w:val="22"/>
                <w:szCs w:val="22"/>
              </w:rPr>
            </w:pPr>
            <w:r w:rsidRPr="002A5BE8">
              <w:rPr>
                <w:b/>
                <w:bCs/>
                <w:sz w:val="22"/>
                <w:szCs w:val="22"/>
              </w:rPr>
              <w:t>67 844 291</w:t>
            </w:r>
          </w:p>
        </w:tc>
      </w:tr>
    </w:tbl>
    <w:p w14:paraId="490B97C6" w14:textId="77777777" w:rsidR="008D16BE" w:rsidRPr="002A5BE8" w:rsidRDefault="008D16BE" w:rsidP="00CA7CB3">
      <w:pPr>
        <w:suppressAutoHyphens w:val="0"/>
        <w:overflowPunct/>
        <w:autoSpaceDE/>
        <w:jc w:val="both"/>
        <w:rPr>
          <w:b/>
          <w:bCs/>
          <w:sz w:val="22"/>
          <w:szCs w:val="22"/>
        </w:rPr>
      </w:pPr>
    </w:p>
    <w:p w14:paraId="32189D65" w14:textId="7B1FADDF" w:rsidR="008D16BE" w:rsidRPr="002A5BE8" w:rsidRDefault="008D16BE" w:rsidP="00CA7CB3">
      <w:pPr>
        <w:suppressAutoHyphens w:val="0"/>
        <w:overflowPunct/>
        <w:autoSpaceDE/>
        <w:jc w:val="both"/>
        <w:rPr>
          <w:sz w:val="22"/>
          <w:szCs w:val="22"/>
        </w:rPr>
      </w:pPr>
      <w:r w:rsidRPr="002A5BE8">
        <w:rPr>
          <w:sz w:val="22"/>
          <w:szCs w:val="22"/>
        </w:rPr>
        <w:t>A 2022-</w:t>
      </w:r>
      <w:r w:rsidR="00A62644" w:rsidRPr="002A5BE8">
        <w:rPr>
          <w:sz w:val="22"/>
          <w:szCs w:val="22"/>
        </w:rPr>
        <w:t>23</w:t>
      </w:r>
      <w:r w:rsidRPr="002A5BE8">
        <w:rPr>
          <w:sz w:val="22"/>
          <w:szCs w:val="22"/>
        </w:rPr>
        <w:t>-</w:t>
      </w:r>
      <w:r w:rsidR="00A62644" w:rsidRPr="002A5BE8">
        <w:rPr>
          <w:sz w:val="22"/>
          <w:szCs w:val="22"/>
        </w:rPr>
        <w:t xml:space="preserve">as </w:t>
      </w:r>
      <w:r w:rsidRPr="002A5BE8">
        <w:rPr>
          <w:sz w:val="22"/>
          <w:szCs w:val="22"/>
        </w:rPr>
        <w:t xml:space="preserve">évek ingatlanértékeseit áttekintve világosan látszik, hogy a költségvetés egyensúlya abban az esetben is tartható lett volna, ha építési telket egyáltalán nem értékesít az önkormányzat. Ebben az esetben a 2023-as költségvetési maradvány „csak” 525 millió forint, a 2024-es költségvetési maradvány pedig csak </w:t>
      </w:r>
      <w:r w:rsidR="00961F42" w:rsidRPr="002A5BE8">
        <w:rPr>
          <w:sz w:val="22"/>
          <w:szCs w:val="22"/>
        </w:rPr>
        <w:t xml:space="preserve">166 millió </w:t>
      </w:r>
      <w:r w:rsidRPr="002A5BE8">
        <w:rPr>
          <w:sz w:val="22"/>
          <w:szCs w:val="22"/>
        </w:rPr>
        <w:t>forint lett volna</w:t>
      </w:r>
      <w:r w:rsidR="001574E0" w:rsidRPr="002A5BE8">
        <w:rPr>
          <w:sz w:val="22"/>
          <w:szCs w:val="22"/>
        </w:rPr>
        <w:t xml:space="preserve">. </w:t>
      </w:r>
      <w:r w:rsidR="00845042" w:rsidRPr="002A5BE8">
        <w:rPr>
          <w:sz w:val="22"/>
          <w:szCs w:val="22"/>
        </w:rPr>
        <w:t xml:space="preserve">A </w:t>
      </w:r>
      <w:r w:rsidR="00A62644" w:rsidRPr="002A5BE8">
        <w:rPr>
          <w:sz w:val="22"/>
          <w:szCs w:val="22"/>
        </w:rPr>
        <w:t>202</w:t>
      </w:r>
      <w:r w:rsidR="00845042" w:rsidRPr="002A5BE8">
        <w:rPr>
          <w:sz w:val="22"/>
          <w:szCs w:val="22"/>
        </w:rPr>
        <w:t xml:space="preserve">4. évet </w:t>
      </w:r>
      <w:r w:rsidR="005F2D01" w:rsidRPr="002A5BE8">
        <w:rPr>
          <w:sz w:val="22"/>
          <w:szCs w:val="22"/>
        </w:rPr>
        <w:t xml:space="preserve">49 millió </w:t>
      </w:r>
      <w:r w:rsidR="00A62644" w:rsidRPr="002A5BE8">
        <w:rPr>
          <w:sz w:val="22"/>
          <w:szCs w:val="22"/>
        </w:rPr>
        <w:t xml:space="preserve">forint </w:t>
      </w:r>
      <w:r w:rsidR="005F2D01" w:rsidRPr="002A5BE8">
        <w:rPr>
          <w:sz w:val="22"/>
          <w:szCs w:val="22"/>
        </w:rPr>
        <w:t>hián</w:t>
      </w:r>
      <w:r w:rsidR="00845042" w:rsidRPr="002A5BE8">
        <w:rPr>
          <w:sz w:val="22"/>
          <w:szCs w:val="22"/>
        </w:rPr>
        <w:t>nyal zárta volna az önkormányzat</w:t>
      </w:r>
      <w:r w:rsidR="005F2D01" w:rsidRPr="002A5BE8">
        <w:rPr>
          <w:sz w:val="22"/>
          <w:szCs w:val="22"/>
        </w:rPr>
        <w:t xml:space="preserve"> építési telek eladása nélkül.</w:t>
      </w:r>
    </w:p>
    <w:p w14:paraId="461D8F7B" w14:textId="77777777" w:rsidR="00302359" w:rsidRPr="002A5BE8" w:rsidRDefault="00302359" w:rsidP="00CA7CB3">
      <w:pPr>
        <w:suppressAutoHyphens w:val="0"/>
        <w:overflowPunct/>
        <w:autoSpaceDE/>
        <w:jc w:val="both"/>
        <w:rPr>
          <w:sz w:val="22"/>
          <w:szCs w:val="22"/>
        </w:rPr>
      </w:pPr>
    </w:p>
    <w:p w14:paraId="0305193A" w14:textId="6633F84A" w:rsidR="001574E0" w:rsidRPr="002A5BE8" w:rsidRDefault="001574E0" w:rsidP="00CA7CB3">
      <w:pPr>
        <w:suppressAutoHyphens w:val="0"/>
        <w:overflowPunct/>
        <w:autoSpaceDE/>
        <w:jc w:val="both"/>
        <w:rPr>
          <w:sz w:val="22"/>
          <w:szCs w:val="22"/>
        </w:rPr>
      </w:pPr>
      <w:r w:rsidRPr="002A5BE8">
        <w:rPr>
          <w:sz w:val="22"/>
          <w:szCs w:val="22"/>
        </w:rPr>
        <w:t xml:space="preserve">Az ingatlan értékesítésnél ennek a megkülönböztetésnek azért is van nagy jelentősége, mert az ipari ingatlan értékesítése (bár szintén nem egy fenntartható bevételi forrás, de legalább) többlet iparűzési- és </w:t>
      </w:r>
      <w:r w:rsidRPr="002A5BE8">
        <w:rPr>
          <w:sz w:val="22"/>
          <w:szCs w:val="22"/>
        </w:rPr>
        <w:lastRenderedPageBreak/>
        <w:t xml:space="preserve">építményadó bevételt generál – rendszerint. Így a vételár megfelelő felhasználása esetén ez kifejezetten segítheti egy fenntartható gazdálkodásra való átállást. </w:t>
      </w:r>
    </w:p>
    <w:p w14:paraId="25B0EF42" w14:textId="77777777" w:rsidR="001574E0" w:rsidRPr="002A5BE8" w:rsidRDefault="001574E0" w:rsidP="00CA7CB3">
      <w:pPr>
        <w:suppressAutoHyphens w:val="0"/>
        <w:overflowPunct/>
        <w:autoSpaceDE/>
        <w:jc w:val="both"/>
        <w:rPr>
          <w:sz w:val="22"/>
          <w:szCs w:val="22"/>
        </w:rPr>
      </w:pPr>
    </w:p>
    <w:p w14:paraId="5BC474A1" w14:textId="293472A2" w:rsidR="001574E0" w:rsidRPr="002A5BE8" w:rsidRDefault="001574E0" w:rsidP="00CA7CB3">
      <w:pPr>
        <w:suppressAutoHyphens w:val="0"/>
        <w:overflowPunct/>
        <w:autoSpaceDE/>
        <w:jc w:val="both"/>
        <w:rPr>
          <w:sz w:val="22"/>
          <w:szCs w:val="22"/>
        </w:rPr>
      </w:pPr>
      <w:r w:rsidRPr="002A5BE8">
        <w:rPr>
          <w:sz w:val="22"/>
          <w:szCs w:val="22"/>
        </w:rPr>
        <w:t>Sajnálatos módon az elmúlt években az ingatlanok értékesítésénél nem az volt a szempont, hogy az egyszeri bevételből olyan beruházások valósuljanak meg, amik fenntarthatóbb gazdálkodás felé mozdítják az önkormányzatot (pl. energetikai beruházások), hanem csak az az elv érvényesült, hogy nem költhet</w:t>
      </w:r>
      <w:r w:rsidR="00217EDE" w:rsidRPr="002A5BE8">
        <w:rPr>
          <w:sz w:val="22"/>
          <w:szCs w:val="22"/>
        </w:rPr>
        <w:t>ő</w:t>
      </w:r>
      <w:r w:rsidRPr="002A5BE8">
        <w:rPr>
          <w:sz w:val="22"/>
          <w:szCs w:val="22"/>
        </w:rPr>
        <w:t xml:space="preserve"> a (napi) működésre az ingatlan bevétel.</w:t>
      </w:r>
    </w:p>
    <w:p w14:paraId="5AB2A7A5" w14:textId="77777777" w:rsidR="001574E0" w:rsidRPr="002A5BE8" w:rsidRDefault="001574E0" w:rsidP="00CA7CB3">
      <w:pPr>
        <w:suppressAutoHyphens w:val="0"/>
        <w:overflowPunct/>
        <w:autoSpaceDE/>
        <w:jc w:val="both"/>
        <w:rPr>
          <w:sz w:val="22"/>
          <w:szCs w:val="22"/>
        </w:rPr>
      </w:pPr>
    </w:p>
    <w:p w14:paraId="138971F5" w14:textId="74F0FFEB" w:rsidR="001574E0" w:rsidRPr="002A5BE8" w:rsidRDefault="005E4459" w:rsidP="00CA7CB3">
      <w:pPr>
        <w:suppressAutoHyphens w:val="0"/>
        <w:overflowPunct/>
        <w:autoSpaceDE/>
        <w:jc w:val="both"/>
        <w:rPr>
          <w:b/>
          <w:bCs/>
          <w:sz w:val="22"/>
          <w:szCs w:val="22"/>
        </w:rPr>
      </w:pPr>
      <w:r w:rsidRPr="002A5BE8">
        <w:rPr>
          <w:b/>
          <w:bCs/>
          <w:sz w:val="22"/>
          <w:szCs w:val="22"/>
        </w:rPr>
        <w:t>II. A fenntartható költségvetés alapelvei</w:t>
      </w:r>
    </w:p>
    <w:p w14:paraId="470F6034" w14:textId="77777777" w:rsidR="00DC3E12" w:rsidRPr="002A5BE8" w:rsidRDefault="00DC3E12" w:rsidP="00DC3E12">
      <w:pPr>
        <w:suppressAutoHyphens w:val="0"/>
        <w:overflowPunct/>
        <w:autoSpaceDE/>
        <w:jc w:val="both"/>
        <w:rPr>
          <w:sz w:val="22"/>
          <w:szCs w:val="22"/>
        </w:rPr>
      </w:pPr>
    </w:p>
    <w:p w14:paraId="33EA7A04" w14:textId="77777777" w:rsidR="00DC3E12" w:rsidRPr="002A5BE8" w:rsidRDefault="00DC3E12" w:rsidP="00DC3E12">
      <w:pPr>
        <w:suppressAutoHyphens w:val="0"/>
        <w:overflowPunct/>
        <w:autoSpaceDE/>
        <w:jc w:val="both"/>
        <w:rPr>
          <w:sz w:val="22"/>
          <w:szCs w:val="22"/>
        </w:rPr>
      </w:pPr>
      <w:r w:rsidRPr="002A5BE8">
        <w:rPr>
          <w:sz w:val="22"/>
          <w:szCs w:val="22"/>
        </w:rPr>
        <w:t>Napjainkban a környezeti javak megőrzésének kulcsfogalma a fenntarthatóság. A fenntartó működés azt jelenti, hogy egy rendszer nem csökkenti a tartalékait.</w:t>
      </w:r>
    </w:p>
    <w:p w14:paraId="1D32E829" w14:textId="77777777" w:rsidR="00DC3E12" w:rsidRPr="002A5BE8" w:rsidRDefault="00DC3E12" w:rsidP="00CA7CB3">
      <w:pPr>
        <w:suppressAutoHyphens w:val="0"/>
        <w:overflowPunct/>
        <w:autoSpaceDE/>
        <w:jc w:val="both"/>
        <w:rPr>
          <w:b/>
          <w:bCs/>
          <w:sz w:val="22"/>
          <w:szCs w:val="22"/>
        </w:rPr>
      </w:pPr>
    </w:p>
    <w:p w14:paraId="1F8BCAE9" w14:textId="54F9D092" w:rsidR="005E4459" w:rsidRPr="002A5BE8" w:rsidRDefault="005E4459" w:rsidP="001574E0">
      <w:pPr>
        <w:suppressAutoHyphens w:val="0"/>
        <w:overflowPunct/>
        <w:autoSpaceDE/>
        <w:jc w:val="both"/>
        <w:rPr>
          <w:b/>
          <w:bCs/>
          <w:sz w:val="22"/>
          <w:szCs w:val="22"/>
        </w:rPr>
      </w:pPr>
      <w:r w:rsidRPr="002A5BE8">
        <w:rPr>
          <w:b/>
          <w:bCs/>
          <w:sz w:val="22"/>
          <w:szCs w:val="22"/>
        </w:rPr>
        <w:t>II.1. Következtetések</w:t>
      </w:r>
    </w:p>
    <w:p w14:paraId="7472D30A" w14:textId="77777777" w:rsidR="005E4459" w:rsidRPr="002A5BE8" w:rsidRDefault="005E4459" w:rsidP="001574E0">
      <w:pPr>
        <w:suppressAutoHyphens w:val="0"/>
        <w:overflowPunct/>
        <w:autoSpaceDE/>
        <w:jc w:val="both"/>
        <w:rPr>
          <w:sz w:val="22"/>
          <w:szCs w:val="22"/>
        </w:rPr>
      </w:pPr>
    </w:p>
    <w:p w14:paraId="08E35AAF" w14:textId="0EC34676" w:rsidR="00217EDE" w:rsidRPr="002A5BE8" w:rsidRDefault="001574E0" w:rsidP="001574E0">
      <w:pPr>
        <w:suppressAutoHyphens w:val="0"/>
        <w:overflowPunct/>
        <w:autoSpaceDE/>
        <w:jc w:val="both"/>
        <w:rPr>
          <w:sz w:val="22"/>
          <w:szCs w:val="22"/>
        </w:rPr>
      </w:pPr>
      <w:r w:rsidRPr="002A5BE8">
        <w:rPr>
          <w:sz w:val="22"/>
          <w:szCs w:val="22"/>
        </w:rPr>
        <w:t xml:space="preserve">A fentiek alapján világos, hogy a fenntartható Solymár felé teendő első lépés egy </w:t>
      </w:r>
      <w:r w:rsidRPr="002A5BE8">
        <w:rPr>
          <w:b/>
          <w:bCs/>
          <w:sz w:val="22"/>
          <w:szCs w:val="22"/>
        </w:rPr>
        <w:t xml:space="preserve">fenntartható költségvetés </w:t>
      </w:r>
      <w:r w:rsidRPr="002A5BE8">
        <w:rPr>
          <w:sz w:val="22"/>
          <w:szCs w:val="22"/>
        </w:rPr>
        <w:t>megalkotása kell legyen.</w:t>
      </w:r>
      <w:r w:rsidR="00217EDE" w:rsidRPr="002A5BE8">
        <w:rPr>
          <w:sz w:val="22"/>
          <w:szCs w:val="22"/>
        </w:rPr>
        <w:t xml:space="preserve"> Egy környezeti, társadalmi szempontból fenntartható település szükséges változásait is csak egy ilyen fenntartható gazdálkodási keretben lehet végrehajtani.</w:t>
      </w:r>
    </w:p>
    <w:p w14:paraId="510BA76B" w14:textId="20E34AEA" w:rsidR="001574E0" w:rsidRPr="002A5BE8" w:rsidRDefault="001574E0" w:rsidP="001574E0">
      <w:pPr>
        <w:suppressAutoHyphens w:val="0"/>
        <w:overflowPunct/>
        <w:autoSpaceDE/>
        <w:jc w:val="both"/>
        <w:rPr>
          <w:sz w:val="22"/>
          <w:szCs w:val="22"/>
        </w:rPr>
      </w:pPr>
      <w:r w:rsidRPr="002A5BE8">
        <w:rPr>
          <w:sz w:val="22"/>
          <w:szCs w:val="22"/>
        </w:rPr>
        <w:t xml:space="preserve">Ehhez olyan alapelvek konszenzusos meghatározására van szükség, amik hosszútávon és a </w:t>
      </w:r>
      <w:r w:rsidRPr="002A5BE8">
        <w:rPr>
          <w:b/>
          <w:bCs/>
          <w:sz w:val="22"/>
          <w:szCs w:val="22"/>
        </w:rPr>
        <w:t>költségvetésre érdemben kihatva biztosítják a kiegyensúlyozott</w:t>
      </w:r>
      <w:r w:rsidR="00217EDE" w:rsidRPr="002A5BE8">
        <w:rPr>
          <w:b/>
          <w:bCs/>
          <w:sz w:val="22"/>
          <w:szCs w:val="22"/>
        </w:rPr>
        <w:t xml:space="preserve"> és fenntartható</w:t>
      </w:r>
      <w:r w:rsidRPr="002A5BE8">
        <w:rPr>
          <w:b/>
          <w:bCs/>
          <w:sz w:val="22"/>
          <w:szCs w:val="22"/>
        </w:rPr>
        <w:t xml:space="preserve"> gazdálkodást</w:t>
      </w:r>
      <w:r w:rsidRPr="002A5BE8">
        <w:rPr>
          <w:sz w:val="22"/>
          <w:szCs w:val="22"/>
        </w:rPr>
        <w:t>.</w:t>
      </w:r>
    </w:p>
    <w:p w14:paraId="6DAD9AE8" w14:textId="77777777" w:rsidR="00217EDE" w:rsidRPr="002A5BE8" w:rsidRDefault="00217EDE" w:rsidP="001574E0">
      <w:pPr>
        <w:suppressAutoHyphens w:val="0"/>
        <w:overflowPunct/>
        <w:autoSpaceDE/>
        <w:jc w:val="both"/>
        <w:rPr>
          <w:sz w:val="22"/>
          <w:szCs w:val="22"/>
        </w:rPr>
      </w:pPr>
    </w:p>
    <w:p w14:paraId="406666A9" w14:textId="1E791470" w:rsidR="00217EDE" w:rsidRPr="002A5BE8" w:rsidRDefault="005E4459" w:rsidP="001574E0">
      <w:pPr>
        <w:suppressAutoHyphens w:val="0"/>
        <w:overflowPunct/>
        <w:autoSpaceDE/>
        <w:jc w:val="both"/>
        <w:rPr>
          <w:b/>
          <w:bCs/>
          <w:sz w:val="22"/>
          <w:szCs w:val="22"/>
        </w:rPr>
      </w:pPr>
      <w:r w:rsidRPr="002A5BE8">
        <w:rPr>
          <w:b/>
          <w:bCs/>
          <w:sz w:val="22"/>
          <w:szCs w:val="22"/>
        </w:rPr>
        <w:t>II.2. A fenntartható költségvetés elvei</w:t>
      </w:r>
    </w:p>
    <w:p w14:paraId="7CA058F8" w14:textId="77777777" w:rsidR="008D16BE" w:rsidRPr="002A5BE8" w:rsidRDefault="008D16BE" w:rsidP="00CA7CB3">
      <w:pPr>
        <w:suppressAutoHyphens w:val="0"/>
        <w:overflowPunct/>
        <w:autoSpaceDE/>
        <w:jc w:val="both"/>
        <w:rPr>
          <w:sz w:val="22"/>
          <w:szCs w:val="22"/>
        </w:rPr>
      </w:pPr>
    </w:p>
    <w:p w14:paraId="13B7E968" w14:textId="09ED7A7C" w:rsidR="005E4459" w:rsidRPr="002A5BE8" w:rsidRDefault="005E4459" w:rsidP="00CA7CB3">
      <w:pPr>
        <w:suppressAutoHyphens w:val="0"/>
        <w:overflowPunct/>
        <w:autoSpaceDE/>
        <w:jc w:val="both"/>
        <w:rPr>
          <w:sz w:val="22"/>
          <w:szCs w:val="22"/>
        </w:rPr>
      </w:pPr>
      <w:r w:rsidRPr="002A5BE8">
        <w:rPr>
          <w:sz w:val="22"/>
          <w:szCs w:val="22"/>
        </w:rPr>
        <w:t>A fenntartható költségvetés elvei – az eddigi célokon és irányelveken túl az alábbiak:</w:t>
      </w:r>
    </w:p>
    <w:p w14:paraId="405B6557" w14:textId="77777777" w:rsidR="005E4459" w:rsidRPr="002A5BE8" w:rsidRDefault="005E4459" w:rsidP="00CA7CB3">
      <w:pPr>
        <w:suppressAutoHyphens w:val="0"/>
        <w:overflowPunct/>
        <w:autoSpaceDE/>
        <w:jc w:val="both"/>
        <w:rPr>
          <w:sz w:val="22"/>
          <w:szCs w:val="22"/>
        </w:rPr>
      </w:pPr>
    </w:p>
    <w:p w14:paraId="28AFDDE5" w14:textId="506C0340" w:rsidR="005E4459" w:rsidRPr="002A5BE8" w:rsidRDefault="005E4459" w:rsidP="0073414C">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r w:rsidRPr="002A5BE8">
        <w:rPr>
          <w:b/>
          <w:bCs/>
          <w:sz w:val="22"/>
          <w:szCs w:val="22"/>
        </w:rPr>
        <w:t xml:space="preserve">1. </w:t>
      </w:r>
      <w:r w:rsidRPr="002A5BE8">
        <w:rPr>
          <w:sz w:val="22"/>
          <w:szCs w:val="22"/>
        </w:rPr>
        <w:t>A költségvetésben meg kell teremteni a rendszeres bevételek és rendszeres (működési) kiadások egyensúlyát.</w:t>
      </w:r>
    </w:p>
    <w:p w14:paraId="694A31C6" w14:textId="77777777" w:rsidR="005E4459" w:rsidRPr="002A5BE8" w:rsidRDefault="005E4459" w:rsidP="0073414C">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p>
    <w:p w14:paraId="42BEA5A7" w14:textId="4988B1A9" w:rsidR="005E4459" w:rsidRPr="002A5BE8" w:rsidRDefault="005E4459" w:rsidP="0073414C">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r w:rsidRPr="002A5BE8">
        <w:rPr>
          <w:b/>
          <w:bCs/>
          <w:sz w:val="22"/>
          <w:szCs w:val="22"/>
        </w:rPr>
        <w:t>2</w:t>
      </w:r>
      <w:r w:rsidRPr="002A5BE8">
        <w:rPr>
          <w:sz w:val="22"/>
          <w:szCs w:val="22"/>
        </w:rPr>
        <w:t xml:space="preserve">. Eseti bevételből működési kiadás csak eseti jelleggel </w:t>
      </w:r>
      <w:r w:rsidR="00DC3E12" w:rsidRPr="002A5BE8">
        <w:rPr>
          <w:sz w:val="22"/>
          <w:szCs w:val="22"/>
        </w:rPr>
        <w:t xml:space="preserve">és indokolt esetben </w:t>
      </w:r>
      <w:r w:rsidRPr="002A5BE8">
        <w:rPr>
          <w:sz w:val="22"/>
          <w:szCs w:val="22"/>
        </w:rPr>
        <w:t>finanszírozható.</w:t>
      </w:r>
    </w:p>
    <w:p w14:paraId="7D9D8275" w14:textId="77777777" w:rsidR="005E4459" w:rsidRPr="002A5BE8" w:rsidRDefault="005E4459" w:rsidP="0073414C">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p>
    <w:p w14:paraId="5B112D06" w14:textId="110931E4" w:rsidR="0073414C" w:rsidRPr="002A5BE8" w:rsidRDefault="005E4459" w:rsidP="0073414C">
      <w:pPr>
        <w:pBdr>
          <w:top w:val="single" w:sz="4" w:space="1" w:color="auto"/>
          <w:left w:val="single" w:sz="4" w:space="4" w:color="auto"/>
          <w:bottom w:val="single" w:sz="4" w:space="1" w:color="auto"/>
          <w:right w:val="single" w:sz="4" w:space="4" w:color="auto"/>
        </w:pBdr>
        <w:suppressAutoHyphens w:val="0"/>
        <w:overflowPunct/>
        <w:autoSpaceDE/>
        <w:jc w:val="both"/>
        <w:rPr>
          <w:sz w:val="22"/>
          <w:szCs w:val="22"/>
        </w:rPr>
      </w:pPr>
      <w:r w:rsidRPr="002A5BE8">
        <w:rPr>
          <w:b/>
          <w:bCs/>
          <w:sz w:val="22"/>
          <w:szCs w:val="22"/>
        </w:rPr>
        <w:t>3</w:t>
      </w:r>
      <w:r w:rsidRPr="002A5BE8">
        <w:rPr>
          <w:sz w:val="22"/>
          <w:szCs w:val="22"/>
        </w:rPr>
        <w:t xml:space="preserve">. </w:t>
      </w:r>
      <w:r w:rsidR="0073414C" w:rsidRPr="002A5BE8">
        <w:rPr>
          <w:sz w:val="22"/>
          <w:szCs w:val="22"/>
        </w:rPr>
        <w:t>A költségvetésben a január-március hónapban felmerülő kiadásokra maradványt kell képezni annak érdekében, hogy a likviditási hitelkeret igénybevételének mértéke ne haladja meg a 100 millió forintot.</w:t>
      </w:r>
    </w:p>
    <w:p w14:paraId="2EAF6D1F" w14:textId="77777777" w:rsidR="0073414C" w:rsidRPr="002A5BE8" w:rsidRDefault="0073414C" w:rsidP="00CA7CB3">
      <w:pPr>
        <w:suppressAutoHyphens w:val="0"/>
        <w:overflowPunct/>
        <w:autoSpaceDE/>
        <w:jc w:val="both"/>
        <w:rPr>
          <w:sz w:val="22"/>
          <w:szCs w:val="22"/>
        </w:rPr>
      </w:pPr>
    </w:p>
    <w:p w14:paraId="04005736" w14:textId="7EF458E1" w:rsidR="0073414C" w:rsidRPr="002A5BE8" w:rsidRDefault="0073414C" w:rsidP="00CA7CB3">
      <w:pPr>
        <w:suppressAutoHyphens w:val="0"/>
        <w:overflowPunct/>
        <w:autoSpaceDE/>
        <w:jc w:val="both"/>
        <w:rPr>
          <w:sz w:val="22"/>
          <w:szCs w:val="22"/>
        </w:rPr>
      </w:pPr>
      <w:r w:rsidRPr="002A5BE8">
        <w:rPr>
          <w:b/>
          <w:bCs/>
          <w:sz w:val="22"/>
          <w:szCs w:val="22"/>
        </w:rPr>
        <w:t>Ad 1</w:t>
      </w:r>
      <w:r w:rsidRPr="002A5BE8">
        <w:rPr>
          <w:sz w:val="22"/>
          <w:szCs w:val="22"/>
        </w:rPr>
        <w:t>) Rendszeres bevételnek minősülnek az adók, bírságok, egyéb bevételek.</w:t>
      </w:r>
    </w:p>
    <w:p w14:paraId="24164E75" w14:textId="48BFD76D" w:rsidR="0073414C" w:rsidRPr="002A5BE8" w:rsidRDefault="0073414C" w:rsidP="0073414C">
      <w:pPr>
        <w:suppressAutoHyphens w:val="0"/>
        <w:overflowPunct/>
        <w:autoSpaceDE/>
        <w:ind w:left="567"/>
        <w:jc w:val="both"/>
        <w:rPr>
          <w:sz w:val="22"/>
          <w:szCs w:val="22"/>
        </w:rPr>
      </w:pPr>
      <w:r w:rsidRPr="002A5BE8">
        <w:rPr>
          <w:sz w:val="22"/>
          <w:szCs w:val="22"/>
        </w:rPr>
        <w:t>Rendszeres kiadásnak minősülnek a működési költségek, ideértve a rendszeres (három évnél gyakoribb) felülvizsgálatokat, karbantartásokat is. A három évnél ritkábban szükséges felújítási, karbantartási munkákat eseti kiadásként kell kezelni.</w:t>
      </w:r>
    </w:p>
    <w:p w14:paraId="74D867AA" w14:textId="77777777" w:rsidR="0073414C" w:rsidRPr="002A5BE8" w:rsidRDefault="0073414C" w:rsidP="00CA7CB3">
      <w:pPr>
        <w:suppressAutoHyphens w:val="0"/>
        <w:overflowPunct/>
        <w:autoSpaceDE/>
        <w:jc w:val="both"/>
        <w:rPr>
          <w:sz w:val="22"/>
          <w:szCs w:val="22"/>
        </w:rPr>
      </w:pPr>
    </w:p>
    <w:p w14:paraId="07F0673D" w14:textId="738F8D4A" w:rsidR="0073414C" w:rsidRPr="002A5BE8" w:rsidRDefault="0073414C" w:rsidP="00CA7CB3">
      <w:pPr>
        <w:suppressAutoHyphens w:val="0"/>
        <w:overflowPunct/>
        <w:autoSpaceDE/>
        <w:jc w:val="both"/>
        <w:rPr>
          <w:sz w:val="22"/>
          <w:szCs w:val="22"/>
        </w:rPr>
      </w:pPr>
      <w:r w:rsidRPr="002A5BE8">
        <w:rPr>
          <w:b/>
          <w:bCs/>
          <w:sz w:val="22"/>
          <w:szCs w:val="22"/>
        </w:rPr>
        <w:t>Ad 2</w:t>
      </w:r>
      <w:r w:rsidRPr="002A5BE8">
        <w:rPr>
          <w:sz w:val="22"/>
          <w:szCs w:val="22"/>
        </w:rPr>
        <w:t xml:space="preserve">) Eseti bevételnek minősül az ingatlan értékesítés, a pályázati forrás, a költségvetési maradvány, illetve </w:t>
      </w:r>
      <w:r w:rsidR="005F2D01" w:rsidRPr="002A5BE8">
        <w:rPr>
          <w:sz w:val="22"/>
          <w:szCs w:val="22"/>
        </w:rPr>
        <w:t>az egyéb felhalmozási célú átvett pénzeszközök.</w:t>
      </w:r>
    </w:p>
    <w:p w14:paraId="7C66DBBF" w14:textId="77777777" w:rsidR="0073414C" w:rsidRPr="002A5BE8" w:rsidRDefault="0073414C" w:rsidP="00CA7CB3">
      <w:pPr>
        <w:suppressAutoHyphens w:val="0"/>
        <w:overflowPunct/>
        <w:autoSpaceDE/>
        <w:jc w:val="both"/>
        <w:rPr>
          <w:sz w:val="22"/>
          <w:szCs w:val="22"/>
        </w:rPr>
      </w:pPr>
    </w:p>
    <w:p w14:paraId="076478F8" w14:textId="77777777" w:rsidR="00460E03" w:rsidRPr="002A5BE8" w:rsidRDefault="00460E03" w:rsidP="00460E03">
      <w:pPr>
        <w:suppressAutoHyphens w:val="0"/>
        <w:overflowPunct/>
        <w:autoSpaceDE/>
        <w:jc w:val="both"/>
        <w:rPr>
          <w:b/>
          <w:bCs/>
          <w:sz w:val="22"/>
          <w:szCs w:val="22"/>
        </w:rPr>
      </w:pPr>
      <w:r w:rsidRPr="002A5BE8">
        <w:rPr>
          <w:b/>
          <w:bCs/>
          <w:sz w:val="22"/>
          <w:szCs w:val="22"/>
        </w:rPr>
        <w:t>II.3. A fenntartható költségvetés elveinek érvényesülése</w:t>
      </w:r>
    </w:p>
    <w:p w14:paraId="658553D7" w14:textId="77777777" w:rsidR="00460E03" w:rsidRPr="002A5BE8" w:rsidRDefault="00460E03" w:rsidP="00460E03">
      <w:pPr>
        <w:suppressAutoHyphens w:val="0"/>
        <w:overflowPunct/>
        <w:autoSpaceDE/>
        <w:jc w:val="both"/>
        <w:rPr>
          <w:sz w:val="22"/>
          <w:szCs w:val="22"/>
        </w:rPr>
      </w:pPr>
    </w:p>
    <w:p w14:paraId="3C984740" w14:textId="40D506D2" w:rsidR="00460E03" w:rsidRPr="002A5BE8" w:rsidRDefault="00460E03" w:rsidP="00460E03">
      <w:pPr>
        <w:suppressAutoHyphens w:val="0"/>
        <w:overflowPunct/>
        <w:autoSpaceDE/>
        <w:jc w:val="both"/>
        <w:rPr>
          <w:sz w:val="22"/>
          <w:szCs w:val="22"/>
        </w:rPr>
      </w:pPr>
      <w:r w:rsidRPr="002A5BE8">
        <w:rPr>
          <w:sz w:val="22"/>
          <w:szCs w:val="22"/>
        </w:rPr>
        <w:t>Tekintettel arra, hogy a korábbi költségvetési gyakorlat nagyon jelentős torzulásokat okozott a költségvetésben, a fenntartható költségvetés elveit a 202</w:t>
      </w:r>
      <w:r w:rsidR="00DC3E12" w:rsidRPr="002A5BE8">
        <w:rPr>
          <w:sz w:val="22"/>
          <w:szCs w:val="22"/>
        </w:rPr>
        <w:t>6-os</w:t>
      </w:r>
      <w:r w:rsidRPr="002A5BE8">
        <w:rPr>
          <w:sz w:val="22"/>
          <w:szCs w:val="22"/>
        </w:rPr>
        <w:t xml:space="preserve"> költségvetésben kell majd maradéktalanul érvényesíteni.</w:t>
      </w:r>
    </w:p>
    <w:p w14:paraId="7967C451" w14:textId="46E50A80" w:rsidR="00460E03" w:rsidRPr="002A5BE8" w:rsidRDefault="00460E03" w:rsidP="00CA7CB3">
      <w:pPr>
        <w:suppressAutoHyphens w:val="0"/>
        <w:overflowPunct/>
        <w:autoSpaceDE/>
        <w:jc w:val="both"/>
        <w:rPr>
          <w:sz w:val="22"/>
          <w:szCs w:val="22"/>
        </w:rPr>
      </w:pPr>
    </w:p>
    <w:p w14:paraId="7664F1D8" w14:textId="5731B1AB" w:rsidR="000A212D" w:rsidRPr="002A5BE8" w:rsidRDefault="000A212D" w:rsidP="00302359">
      <w:pPr>
        <w:suppressAutoHyphens w:val="0"/>
        <w:overflowPunct/>
        <w:autoSpaceDE/>
        <w:jc w:val="both"/>
        <w:rPr>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A212D" w:rsidRPr="002A5BE8" w14:paraId="6C67BB31" w14:textId="77777777" w:rsidTr="00DC3E12">
        <w:tc>
          <w:tcPr>
            <w:tcW w:w="4531" w:type="dxa"/>
          </w:tcPr>
          <w:p w14:paraId="4D184CDB" w14:textId="77777777" w:rsidR="000A212D" w:rsidRPr="002A5BE8" w:rsidRDefault="000A212D" w:rsidP="00302359">
            <w:pPr>
              <w:suppressAutoHyphens w:val="0"/>
              <w:overflowPunct/>
              <w:autoSpaceDE/>
              <w:jc w:val="both"/>
              <w:rPr>
                <w:sz w:val="22"/>
                <w:szCs w:val="22"/>
              </w:rPr>
            </w:pPr>
          </w:p>
        </w:tc>
        <w:tc>
          <w:tcPr>
            <w:tcW w:w="4531" w:type="dxa"/>
          </w:tcPr>
          <w:p w14:paraId="674B2FC9" w14:textId="77777777" w:rsidR="000A212D" w:rsidRPr="002A5BE8" w:rsidRDefault="000A212D" w:rsidP="00DC3E12">
            <w:pPr>
              <w:tabs>
                <w:tab w:val="left" w:pos="930"/>
                <w:tab w:val="center" w:pos="7125"/>
              </w:tabs>
              <w:jc w:val="center"/>
              <w:textAlignment w:val="baseline"/>
              <w:rPr>
                <w:b/>
                <w:bCs/>
                <w:iCs/>
                <w:sz w:val="22"/>
                <w:szCs w:val="22"/>
              </w:rPr>
            </w:pPr>
            <w:r w:rsidRPr="002A5BE8">
              <w:rPr>
                <w:b/>
                <w:bCs/>
                <w:iCs/>
                <w:sz w:val="22"/>
                <w:szCs w:val="22"/>
              </w:rPr>
              <w:t>Dr. Zlinszky Péter</w:t>
            </w:r>
          </w:p>
          <w:p w14:paraId="38493AF6" w14:textId="4A751932" w:rsidR="000A212D" w:rsidRPr="002A5BE8" w:rsidRDefault="000A212D" w:rsidP="00DC3E12">
            <w:pPr>
              <w:suppressAutoHyphens w:val="0"/>
              <w:overflowPunct/>
              <w:autoSpaceDE/>
              <w:jc w:val="center"/>
              <w:rPr>
                <w:sz w:val="22"/>
                <w:szCs w:val="22"/>
              </w:rPr>
            </w:pPr>
            <w:r w:rsidRPr="002A5BE8">
              <w:rPr>
                <w:bCs/>
                <w:iCs/>
                <w:sz w:val="22"/>
                <w:szCs w:val="22"/>
              </w:rPr>
              <w:t>Polgármester</w:t>
            </w:r>
          </w:p>
        </w:tc>
      </w:tr>
    </w:tbl>
    <w:p w14:paraId="3B7BADF0" w14:textId="77777777" w:rsidR="000A212D" w:rsidRPr="002A5BE8" w:rsidRDefault="000A212D" w:rsidP="00302359">
      <w:pPr>
        <w:suppressAutoHyphens w:val="0"/>
        <w:overflowPunct/>
        <w:autoSpaceDE/>
        <w:jc w:val="both"/>
        <w:rPr>
          <w:sz w:val="22"/>
          <w:szCs w:val="22"/>
        </w:rPr>
      </w:pPr>
    </w:p>
    <w:p w14:paraId="6FB08379" w14:textId="77777777" w:rsidR="000A212D" w:rsidRPr="002A5BE8" w:rsidRDefault="000A212D" w:rsidP="00302359">
      <w:pPr>
        <w:suppressAutoHyphens w:val="0"/>
        <w:overflowPunct/>
        <w:autoSpaceDE/>
        <w:jc w:val="both"/>
        <w:rPr>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36"/>
        <w:gridCol w:w="4536"/>
      </w:tblGrid>
      <w:tr w:rsidR="00BF697A" w:rsidRPr="002A5BE8" w14:paraId="13EDA11E" w14:textId="77777777" w:rsidTr="00BF697A">
        <w:tc>
          <w:tcPr>
            <w:tcW w:w="4605" w:type="dxa"/>
          </w:tcPr>
          <w:p w14:paraId="25558880" w14:textId="77777777" w:rsidR="00BF697A" w:rsidRDefault="00BF697A" w:rsidP="00BF697A">
            <w:pPr>
              <w:rPr>
                <w:sz w:val="22"/>
                <w:szCs w:val="22"/>
              </w:rPr>
            </w:pPr>
          </w:p>
          <w:p w14:paraId="2E1B1F37" w14:textId="77777777" w:rsidR="002A5BE8" w:rsidRPr="002A5BE8" w:rsidRDefault="002A5BE8" w:rsidP="00BF697A">
            <w:pPr>
              <w:rPr>
                <w:sz w:val="22"/>
                <w:szCs w:val="22"/>
              </w:rPr>
            </w:pPr>
          </w:p>
        </w:tc>
        <w:tc>
          <w:tcPr>
            <w:tcW w:w="4606" w:type="dxa"/>
          </w:tcPr>
          <w:p w14:paraId="6CE1224C" w14:textId="168EEEFD" w:rsidR="00BF697A" w:rsidRPr="002A5BE8" w:rsidRDefault="00BF697A" w:rsidP="000A212D">
            <w:pPr>
              <w:tabs>
                <w:tab w:val="left" w:pos="930"/>
                <w:tab w:val="center" w:pos="7125"/>
              </w:tabs>
              <w:ind w:left="465"/>
              <w:jc w:val="center"/>
              <w:textAlignment w:val="baseline"/>
              <w:rPr>
                <w:bCs/>
                <w:iCs/>
                <w:sz w:val="22"/>
                <w:szCs w:val="22"/>
              </w:rPr>
            </w:pPr>
          </w:p>
        </w:tc>
      </w:tr>
    </w:tbl>
    <w:p w14:paraId="4428BF2F" w14:textId="77777777" w:rsidR="006646F9" w:rsidRPr="002A5BE8" w:rsidRDefault="006646F9" w:rsidP="00277288">
      <w:pPr>
        <w:rPr>
          <w:rFonts w:eastAsia="MS Mincho"/>
          <w:b/>
          <w:bCs/>
          <w:sz w:val="22"/>
          <w:szCs w:val="22"/>
          <w:u w:val="single"/>
        </w:rPr>
      </w:pPr>
    </w:p>
    <w:p w14:paraId="6A3B5566" w14:textId="40FD87DB" w:rsidR="00BF697A" w:rsidRPr="002A5BE8" w:rsidRDefault="0023301C" w:rsidP="00277288">
      <w:pPr>
        <w:rPr>
          <w:b/>
          <w:sz w:val="22"/>
          <w:szCs w:val="22"/>
        </w:rPr>
      </w:pPr>
      <w:r w:rsidRPr="002A5BE8">
        <w:rPr>
          <w:rFonts w:eastAsia="MS Mincho"/>
          <w:b/>
          <w:bCs/>
          <w:sz w:val="22"/>
          <w:szCs w:val="22"/>
          <w:u w:val="single"/>
        </w:rPr>
        <w:lastRenderedPageBreak/>
        <w:t>HATÁROZATI  JAVASLAT</w:t>
      </w:r>
      <w:r w:rsidR="00BF697A" w:rsidRPr="002A5BE8">
        <w:rPr>
          <w:rFonts w:eastAsia="MS Mincho"/>
          <w:b/>
          <w:bCs/>
          <w:sz w:val="22"/>
          <w:szCs w:val="22"/>
          <w:u w:val="single"/>
        </w:rPr>
        <w:t xml:space="preserve">: </w:t>
      </w:r>
      <w:r w:rsidR="00BF697A" w:rsidRPr="002A5BE8">
        <w:rPr>
          <w:b/>
          <w:sz w:val="22"/>
          <w:szCs w:val="22"/>
        </w:rPr>
        <w:t>…/20</w:t>
      </w:r>
      <w:r w:rsidR="008D3694" w:rsidRPr="002A5BE8">
        <w:rPr>
          <w:b/>
          <w:sz w:val="22"/>
          <w:szCs w:val="22"/>
        </w:rPr>
        <w:t>25</w:t>
      </w:r>
      <w:r w:rsidR="00BF697A" w:rsidRPr="002A5BE8">
        <w:rPr>
          <w:b/>
          <w:sz w:val="22"/>
          <w:szCs w:val="22"/>
        </w:rPr>
        <w:t xml:space="preserve">-H  igen/ nem/ tartózkodott </w:t>
      </w:r>
    </w:p>
    <w:p w14:paraId="01481668" w14:textId="77777777" w:rsidR="00BF697A" w:rsidRPr="002A5BE8" w:rsidRDefault="00BF697A" w:rsidP="00BF697A">
      <w:pPr>
        <w:rPr>
          <w:bCs/>
          <w:iCs/>
          <w:sz w:val="22"/>
          <w:szCs w:val="22"/>
        </w:rPr>
      </w:pPr>
    </w:p>
    <w:p w14:paraId="333B1433" w14:textId="77777777" w:rsidR="0073414C" w:rsidRPr="002A5BE8" w:rsidRDefault="0073414C" w:rsidP="0073414C">
      <w:pPr>
        <w:suppressAutoHyphens w:val="0"/>
        <w:overflowPunct/>
        <w:autoSpaceDE/>
        <w:jc w:val="both"/>
        <w:rPr>
          <w:sz w:val="22"/>
          <w:szCs w:val="22"/>
        </w:rPr>
      </w:pPr>
      <w:r w:rsidRPr="002A5BE8">
        <w:rPr>
          <w:sz w:val="22"/>
          <w:szCs w:val="22"/>
        </w:rPr>
        <w:t>A fenntartható költségvetés elvei – az eddigi célokon és irányelveken túl az alábbiak:</w:t>
      </w:r>
    </w:p>
    <w:p w14:paraId="7C82AA63" w14:textId="77777777" w:rsidR="0073414C" w:rsidRPr="002A5BE8" w:rsidRDefault="0073414C" w:rsidP="00FE7580">
      <w:pPr>
        <w:suppressAutoHyphens w:val="0"/>
        <w:overflowPunct/>
        <w:autoSpaceDE/>
        <w:jc w:val="both"/>
        <w:rPr>
          <w:sz w:val="22"/>
          <w:szCs w:val="22"/>
        </w:rPr>
      </w:pPr>
    </w:p>
    <w:p w14:paraId="3BCF8B35" w14:textId="77777777" w:rsidR="0073414C" w:rsidRPr="002A5BE8" w:rsidRDefault="0073414C" w:rsidP="00DC3E12">
      <w:pPr>
        <w:suppressAutoHyphens w:val="0"/>
        <w:overflowPunct/>
        <w:autoSpaceDE/>
        <w:jc w:val="both"/>
        <w:rPr>
          <w:sz w:val="22"/>
          <w:szCs w:val="22"/>
        </w:rPr>
      </w:pPr>
      <w:r w:rsidRPr="002A5BE8">
        <w:rPr>
          <w:b/>
          <w:bCs/>
          <w:sz w:val="22"/>
          <w:szCs w:val="22"/>
        </w:rPr>
        <w:t xml:space="preserve">1. </w:t>
      </w:r>
      <w:r w:rsidRPr="002A5BE8">
        <w:rPr>
          <w:sz w:val="22"/>
          <w:szCs w:val="22"/>
        </w:rPr>
        <w:t>A költségvetésben meg kell teremteni a rendszeres bevételek és rendszeres (működési) kiadások egyensúlyát.</w:t>
      </w:r>
    </w:p>
    <w:p w14:paraId="241C31D1" w14:textId="77777777" w:rsidR="0073414C" w:rsidRPr="002A5BE8" w:rsidRDefault="0073414C" w:rsidP="00DC3E12">
      <w:pPr>
        <w:suppressAutoHyphens w:val="0"/>
        <w:overflowPunct/>
        <w:autoSpaceDE/>
        <w:jc w:val="both"/>
        <w:rPr>
          <w:sz w:val="22"/>
          <w:szCs w:val="22"/>
        </w:rPr>
      </w:pPr>
    </w:p>
    <w:p w14:paraId="68AFF64A" w14:textId="77777777" w:rsidR="0073414C" w:rsidRPr="002A5BE8" w:rsidRDefault="0073414C" w:rsidP="00DC3E12">
      <w:pPr>
        <w:suppressAutoHyphens w:val="0"/>
        <w:overflowPunct/>
        <w:autoSpaceDE/>
        <w:jc w:val="both"/>
        <w:rPr>
          <w:sz w:val="22"/>
          <w:szCs w:val="22"/>
        </w:rPr>
      </w:pPr>
      <w:r w:rsidRPr="002A5BE8">
        <w:rPr>
          <w:b/>
          <w:bCs/>
          <w:sz w:val="22"/>
          <w:szCs w:val="22"/>
        </w:rPr>
        <w:t>2</w:t>
      </w:r>
      <w:r w:rsidRPr="002A5BE8">
        <w:rPr>
          <w:sz w:val="22"/>
          <w:szCs w:val="22"/>
        </w:rPr>
        <w:t>. Eseti bevételből működési kiadás csak eseti jelleggel finanszírozható.</w:t>
      </w:r>
    </w:p>
    <w:p w14:paraId="41886D25" w14:textId="77777777" w:rsidR="0073414C" w:rsidRPr="002A5BE8" w:rsidRDefault="0073414C" w:rsidP="00DC3E12">
      <w:pPr>
        <w:suppressAutoHyphens w:val="0"/>
        <w:overflowPunct/>
        <w:autoSpaceDE/>
        <w:jc w:val="both"/>
        <w:rPr>
          <w:sz w:val="22"/>
          <w:szCs w:val="22"/>
        </w:rPr>
      </w:pPr>
    </w:p>
    <w:p w14:paraId="29CFEC60" w14:textId="77777777" w:rsidR="0073414C" w:rsidRPr="002A5BE8" w:rsidRDefault="0073414C" w:rsidP="00DC3E12">
      <w:pPr>
        <w:suppressAutoHyphens w:val="0"/>
        <w:overflowPunct/>
        <w:autoSpaceDE/>
        <w:jc w:val="both"/>
        <w:rPr>
          <w:sz w:val="22"/>
          <w:szCs w:val="22"/>
        </w:rPr>
      </w:pPr>
      <w:r w:rsidRPr="002A5BE8">
        <w:rPr>
          <w:b/>
          <w:bCs/>
          <w:sz w:val="22"/>
          <w:szCs w:val="22"/>
        </w:rPr>
        <w:t>3</w:t>
      </w:r>
      <w:r w:rsidRPr="002A5BE8">
        <w:rPr>
          <w:sz w:val="22"/>
          <w:szCs w:val="22"/>
        </w:rPr>
        <w:t>. A költségvetésben a január-március hónapban felmerülő kiadásokra maradványt kell képezni annak érdekében, hogy a likviditási hitelkeret igénybevételének mértéke ne haladja meg a 100 millió forintot.</w:t>
      </w:r>
    </w:p>
    <w:p w14:paraId="459039EB" w14:textId="77777777" w:rsidR="007A6689" w:rsidRPr="002A5BE8" w:rsidRDefault="007A6689" w:rsidP="00BF697A">
      <w:pPr>
        <w:rPr>
          <w:bCs/>
          <w:iCs/>
          <w:sz w:val="22"/>
          <w:szCs w:val="22"/>
        </w:rPr>
      </w:pPr>
    </w:p>
    <w:p w14:paraId="67D69BE5" w14:textId="32F8B186" w:rsidR="00DC3E12" w:rsidRPr="002A5BE8" w:rsidRDefault="00DC3E12" w:rsidP="00DC3E12">
      <w:pPr>
        <w:suppressAutoHyphens w:val="0"/>
        <w:overflowPunct/>
        <w:autoSpaceDE/>
        <w:jc w:val="both"/>
        <w:rPr>
          <w:sz w:val="22"/>
          <w:szCs w:val="22"/>
        </w:rPr>
      </w:pPr>
      <w:r w:rsidRPr="002A5BE8">
        <w:rPr>
          <w:bCs/>
          <w:iCs/>
          <w:sz w:val="22"/>
          <w:szCs w:val="22"/>
        </w:rPr>
        <w:t xml:space="preserve">A </w:t>
      </w:r>
      <w:r w:rsidRPr="002A5BE8">
        <w:rPr>
          <w:sz w:val="22"/>
          <w:szCs w:val="22"/>
        </w:rPr>
        <w:t>fenntartható költségvetés elveit a 2026-os költségvetéstől kezdve maradéktalanul érvényesíteni kell és törekedni kell arra, hogy már a 2025-ös költségvetésben érvényre jussanak.</w:t>
      </w:r>
    </w:p>
    <w:p w14:paraId="196EADFD" w14:textId="2F278831" w:rsidR="00DC3E12" w:rsidRPr="002A5BE8" w:rsidRDefault="00DC3E12" w:rsidP="00BF697A">
      <w:pPr>
        <w:rPr>
          <w:bCs/>
          <w:iCs/>
          <w:sz w:val="22"/>
          <w:szCs w:val="22"/>
        </w:rPr>
      </w:pPr>
    </w:p>
    <w:p w14:paraId="0875B57D" w14:textId="77777777" w:rsidR="007A6689" w:rsidRPr="002A5BE8" w:rsidRDefault="007A6689" w:rsidP="00BF697A">
      <w:pPr>
        <w:rPr>
          <w:b/>
          <w:bCs/>
          <w:sz w:val="22"/>
          <w:szCs w:val="22"/>
          <w:u w:val="single"/>
        </w:rPr>
      </w:pPr>
    </w:p>
    <w:p w14:paraId="26C024F3" w14:textId="77777777" w:rsidR="00BF697A" w:rsidRPr="002A5BE8" w:rsidRDefault="00BF697A" w:rsidP="00BF697A">
      <w:pPr>
        <w:rPr>
          <w:sz w:val="22"/>
          <w:szCs w:val="22"/>
        </w:rPr>
      </w:pPr>
      <w:r w:rsidRPr="002A5BE8">
        <w:rPr>
          <w:b/>
          <w:bCs/>
          <w:sz w:val="22"/>
          <w:szCs w:val="22"/>
          <w:u w:val="single"/>
        </w:rPr>
        <w:t>Felelős</w:t>
      </w:r>
      <w:r w:rsidR="005E69B9" w:rsidRPr="002A5BE8">
        <w:rPr>
          <w:sz w:val="22"/>
          <w:szCs w:val="22"/>
        </w:rPr>
        <w:t xml:space="preserve">: </w:t>
      </w:r>
    </w:p>
    <w:p w14:paraId="34563C05" w14:textId="77777777" w:rsidR="00BF697A" w:rsidRPr="00302359" w:rsidRDefault="00BF697A" w:rsidP="00BF697A">
      <w:pPr>
        <w:rPr>
          <w:szCs w:val="24"/>
        </w:rPr>
      </w:pPr>
      <w:r w:rsidRPr="002A5BE8">
        <w:rPr>
          <w:b/>
          <w:bCs/>
          <w:sz w:val="22"/>
          <w:szCs w:val="22"/>
          <w:u w:val="single"/>
        </w:rPr>
        <w:t>Határidő</w:t>
      </w:r>
      <w:r w:rsidRPr="002A5BE8">
        <w:rPr>
          <w:b/>
          <w:bCs/>
          <w:sz w:val="22"/>
          <w:szCs w:val="22"/>
        </w:rPr>
        <w:t>:</w:t>
      </w:r>
      <w:r w:rsidRPr="00302359">
        <w:rPr>
          <w:szCs w:val="24"/>
        </w:rPr>
        <w:t xml:space="preserve"> </w:t>
      </w:r>
    </w:p>
    <w:p w14:paraId="6B495911" w14:textId="77777777" w:rsidR="00BF697A" w:rsidRPr="00302359" w:rsidRDefault="00BF697A" w:rsidP="00BF697A">
      <w:pPr>
        <w:rPr>
          <w:szCs w:val="24"/>
        </w:rPr>
      </w:pPr>
    </w:p>
    <w:sectPr w:rsidR="00BF697A" w:rsidRPr="00302359" w:rsidSect="0023301C">
      <w:footerReference w:type="default" r:id="rId13"/>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BF45B" w14:textId="77777777" w:rsidR="00A9716A" w:rsidRDefault="00A9716A" w:rsidP="00E87959">
      <w:r>
        <w:separator/>
      </w:r>
    </w:p>
  </w:endnote>
  <w:endnote w:type="continuationSeparator" w:id="0">
    <w:p w14:paraId="21CD3BFF" w14:textId="77777777" w:rsidR="00A9716A" w:rsidRDefault="00A9716A" w:rsidP="00E8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Dutch 801">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3041730"/>
      <w:docPartObj>
        <w:docPartGallery w:val="Page Numbers (Bottom of Page)"/>
        <w:docPartUnique/>
      </w:docPartObj>
    </w:sdtPr>
    <w:sdtEndPr/>
    <w:sdtContent>
      <w:p w14:paraId="6E054888" w14:textId="0E78EFCD" w:rsidR="00E87959" w:rsidRDefault="00E87959">
        <w:pPr>
          <w:pStyle w:val="llb"/>
          <w:jc w:val="center"/>
        </w:pPr>
        <w:r>
          <w:fldChar w:fldCharType="begin"/>
        </w:r>
        <w:r>
          <w:instrText>PAGE   \* MERGEFORMAT</w:instrText>
        </w:r>
        <w:r>
          <w:fldChar w:fldCharType="separate"/>
        </w:r>
        <w:r>
          <w:t>2</w:t>
        </w:r>
        <w:r>
          <w:fldChar w:fldCharType="end"/>
        </w:r>
      </w:p>
    </w:sdtContent>
  </w:sdt>
  <w:p w14:paraId="1CA7B749" w14:textId="77777777" w:rsidR="00E87959" w:rsidRDefault="00E8795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26A81" w14:textId="77777777" w:rsidR="00A9716A" w:rsidRDefault="00A9716A" w:rsidP="00E87959">
      <w:r>
        <w:separator/>
      </w:r>
    </w:p>
  </w:footnote>
  <w:footnote w:type="continuationSeparator" w:id="0">
    <w:p w14:paraId="3CB84C22" w14:textId="77777777" w:rsidR="00A9716A" w:rsidRDefault="00A9716A" w:rsidP="00E87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4E08DB"/>
    <w:multiLevelType w:val="hybridMultilevel"/>
    <w:tmpl w:val="670CB294"/>
    <w:lvl w:ilvl="0" w:tplc="040E0017">
      <w:start w:val="1"/>
      <w:numFmt w:val="lowerLetter"/>
      <w:lvlText w:val="%1)"/>
      <w:lvlJc w:val="left"/>
      <w:pPr>
        <w:ind w:left="1200" w:hanging="360"/>
      </w:pPr>
      <w:rPr>
        <w:rFonts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2" w15:restartNumberingAfterBreak="0">
    <w:nsid w:val="15C973DE"/>
    <w:multiLevelType w:val="hybridMultilevel"/>
    <w:tmpl w:val="6232AB4C"/>
    <w:lvl w:ilvl="0" w:tplc="27FAF16E">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7EB7B91"/>
    <w:multiLevelType w:val="hybridMultilevel"/>
    <w:tmpl w:val="8612FBD2"/>
    <w:lvl w:ilvl="0" w:tplc="CBBED450">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82F0FAD"/>
    <w:multiLevelType w:val="hybridMultilevel"/>
    <w:tmpl w:val="07E40C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360022D"/>
    <w:multiLevelType w:val="hybridMultilevel"/>
    <w:tmpl w:val="D4E6F9BC"/>
    <w:lvl w:ilvl="0" w:tplc="5280701A">
      <w:start w:val="1"/>
      <w:numFmt w:val="decimal"/>
      <w:lvlText w:val="%1."/>
      <w:lvlJc w:val="left"/>
      <w:pPr>
        <w:tabs>
          <w:tab w:val="num" w:pos="360"/>
        </w:tabs>
        <w:ind w:left="360" w:hanging="360"/>
      </w:pPr>
      <w:rPr>
        <w:b w:val="0"/>
      </w:rPr>
    </w:lvl>
    <w:lvl w:ilvl="1" w:tplc="040E000F">
      <w:start w:val="1"/>
      <w:numFmt w:val="decimal"/>
      <w:lvlText w:val="%2."/>
      <w:lvlJc w:val="left"/>
      <w:pPr>
        <w:tabs>
          <w:tab w:val="num" w:pos="1080"/>
        </w:tabs>
        <w:ind w:left="1080" w:hanging="360"/>
      </w:pPr>
      <w:rPr>
        <w:b w:val="0"/>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6" w15:restartNumberingAfterBreak="0">
    <w:nsid w:val="4E13711F"/>
    <w:multiLevelType w:val="hybridMultilevel"/>
    <w:tmpl w:val="78AA9ADE"/>
    <w:lvl w:ilvl="0" w:tplc="87A67986">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D13412C"/>
    <w:multiLevelType w:val="hybridMultilevel"/>
    <w:tmpl w:val="07E40C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58743855">
    <w:abstractNumId w:val="0"/>
  </w:num>
  <w:num w:numId="2" w16cid:durableId="532113572">
    <w:abstractNumId w:val="5"/>
  </w:num>
  <w:num w:numId="3" w16cid:durableId="1998341578">
    <w:abstractNumId w:val="6"/>
  </w:num>
  <w:num w:numId="4" w16cid:durableId="1827236718">
    <w:abstractNumId w:val="2"/>
  </w:num>
  <w:num w:numId="5" w16cid:durableId="922028454">
    <w:abstractNumId w:val="3"/>
  </w:num>
  <w:num w:numId="6" w16cid:durableId="249853909">
    <w:abstractNumId w:val="7"/>
  </w:num>
  <w:num w:numId="7" w16cid:durableId="367682803">
    <w:abstractNumId w:val="4"/>
  </w:num>
  <w:num w:numId="8" w16cid:durableId="688725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553"/>
    <w:rsid w:val="00013025"/>
    <w:rsid w:val="00021554"/>
    <w:rsid w:val="00026FC4"/>
    <w:rsid w:val="000662B4"/>
    <w:rsid w:val="00075F75"/>
    <w:rsid w:val="000A212D"/>
    <w:rsid w:val="000B5B6E"/>
    <w:rsid w:val="00105897"/>
    <w:rsid w:val="00120E75"/>
    <w:rsid w:val="00133469"/>
    <w:rsid w:val="00145AC9"/>
    <w:rsid w:val="001525EC"/>
    <w:rsid w:val="001574E0"/>
    <w:rsid w:val="001D520E"/>
    <w:rsid w:val="001E52C5"/>
    <w:rsid w:val="002018EC"/>
    <w:rsid w:val="00204F24"/>
    <w:rsid w:val="00210550"/>
    <w:rsid w:val="0021467F"/>
    <w:rsid w:val="00217EDE"/>
    <w:rsid w:val="0023301C"/>
    <w:rsid w:val="0024271E"/>
    <w:rsid w:val="00277288"/>
    <w:rsid w:val="002A5BE8"/>
    <w:rsid w:val="002C5A67"/>
    <w:rsid w:val="002F1633"/>
    <w:rsid w:val="00302359"/>
    <w:rsid w:val="003479C2"/>
    <w:rsid w:val="00356C7A"/>
    <w:rsid w:val="0036079A"/>
    <w:rsid w:val="00387222"/>
    <w:rsid w:val="003A3097"/>
    <w:rsid w:val="003D6319"/>
    <w:rsid w:val="00423947"/>
    <w:rsid w:val="00460E03"/>
    <w:rsid w:val="0047750B"/>
    <w:rsid w:val="004A341A"/>
    <w:rsid w:val="004B4E86"/>
    <w:rsid w:val="004C759A"/>
    <w:rsid w:val="004D0310"/>
    <w:rsid w:val="004D47CB"/>
    <w:rsid w:val="0053199B"/>
    <w:rsid w:val="00535E80"/>
    <w:rsid w:val="0054344E"/>
    <w:rsid w:val="00546933"/>
    <w:rsid w:val="00546BF4"/>
    <w:rsid w:val="005823FB"/>
    <w:rsid w:val="005B4191"/>
    <w:rsid w:val="005E4459"/>
    <w:rsid w:val="005E4CE1"/>
    <w:rsid w:val="005E586F"/>
    <w:rsid w:val="005E69B9"/>
    <w:rsid w:val="005F2D01"/>
    <w:rsid w:val="00606C75"/>
    <w:rsid w:val="00655814"/>
    <w:rsid w:val="006646F9"/>
    <w:rsid w:val="006E7B04"/>
    <w:rsid w:val="006F3EB2"/>
    <w:rsid w:val="00705438"/>
    <w:rsid w:val="00722C74"/>
    <w:rsid w:val="0073414C"/>
    <w:rsid w:val="007506EE"/>
    <w:rsid w:val="00763DCD"/>
    <w:rsid w:val="0078211B"/>
    <w:rsid w:val="00793D33"/>
    <w:rsid w:val="007A6689"/>
    <w:rsid w:val="007B45F8"/>
    <w:rsid w:val="007C2ABA"/>
    <w:rsid w:val="00801B08"/>
    <w:rsid w:val="0082639D"/>
    <w:rsid w:val="008405B8"/>
    <w:rsid w:val="00845042"/>
    <w:rsid w:val="00851C04"/>
    <w:rsid w:val="008A0B5D"/>
    <w:rsid w:val="008B6D49"/>
    <w:rsid w:val="008D16BE"/>
    <w:rsid w:val="008D3694"/>
    <w:rsid w:val="008E14B8"/>
    <w:rsid w:val="008F6C8A"/>
    <w:rsid w:val="00902CD0"/>
    <w:rsid w:val="0092505B"/>
    <w:rsid w:val="00930A01"/>
    <w:rsid w:val="0093653F"/>
    <w:rsid w:val="0095309D"/>
    <w:rsid w:val="00961F42"/>
    <w:rsid w:val="009845E9"/>
    <w:rsid w:val="00A2214E"/>
    <w:rsid w:val="00A62644"/>
    <w:rsid w:val="00A84FBC"/>
    <w:rsid w:val="00A9716A"/>
    <w:rsid w:val="00AB2D24"/>
    <w:rsid w:val="00AF4821"/>
    <w:rsid w:val="00B42976"/>
    <w:rsid w:val="00B55182"/>
    <w:rsid w:val="00B7054F"/>
    <w:rsid w:val="00BC02AF"/>
    <w:rsid w:val="00BF697A"/>
    <w:rsid w:val="00C075D4"/>
    <w:rsid w:val="00C2635E"/>
    <w:rsid w:val="00C274EB"/>
    <w:rsid w:val="00C743A3"/>
    <w:rsid w:val="00CA7CB3"/>
    <w:rsid w:val="00CC3E53"/>
    <w:rsid w:val="00CE3ACF"/>
    <w:rsid w:val="00D965E0"/>
    <w:rsid w:val="00DB24BD"/>
    <w:rsid w:val="00DC3E12"/>
    <w:rsid w:val="00DD7553"/>
    <w:rsid w:val="00E0550C"/>
    <w:rsid w:val="00E154BA"/>
    <w:rsid w:val="00E433D5"/>
    <w:rsid w:val="00E66771"/>
    <w:rsid w:val="00E76E9C"/>
    <w:rsid w:val="00E87959"/>
    <w:rsid w:val="00EA763C"/>
    <w:rsid w:val="00EB3369"/>
    <w:rsid w:val="00EB340D"/>
    <w:rsid w:val="00EE1607"/>
    <w:rsid w:val="00F05A8D"/>
    <w:rsid w:val="00F218B4"/>
    <w:rsid w:val="00F74F5F"/>
    <w:rsid w:val="00F9648B"/>
    <w:rsid w:val="00FC3662"/>
    <w:rsid w:val="00FD7016"/>
    <w:rsid w:val="00FE75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E9938D"/>
  <w15:docId w15:val="{A22C8839-6A1B-4C93-B842-0EBE1CE2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76E9C"/>
    <w:pPr>
      <w:suppressAutoHyphens/>
      <w:overflowPunct w:val="0"/>
      <w:autoSpaceDE w:val="0"/>
    </w:pPr>
    <w:rPr>
      <w:sz w:val="24"/>
      <w:lang w:eastAsia="ar-SA"/>
    </w:rPr>
  </w:style>
  <w:style w:type="paragraph" w:styleId="Cmsor3">
    <w:name w:val="heading 3"/>
    <w:basedOn w:val="Norml"/>
    <w:next w:val="Norml"/>
    <w:qFormat/>
    <w:rsid w:val="00E76E9C"/>
    <w:pPr>
      <w:keepNext/>
      <w:tabs>
        <w:tab w:val="num" w:pos="0"/>
      </w:tabs>
      <w:ind w:left="720" w:hanging="720"/>
      <w:jc w:val="center"/>
      <w:outlineLvl w:val="2"/>
    </w:pPr>
    <w:rPr>
      <w:b/>
      <w:sz w:val="28"/>
    </w:rPr>
  </w:style>
  <w:style w:type="paragraph" w:styleId="Cmsor4">
    <w:name w:val="heading 4"/>
    <w:basedOn w:val="Norml"/>
    <w:next w:val="Norml"/>
    <w:qFormat/>
    <w:rsid w:val="00E76E9C"/>
    <w:pPr>
      <w:keepNext/>
      <w:tabs>
        <w:tab w:val="num" w:pos="0"/>
      </w:tabs>
      <w:ind w:left="864" w:hanging="864"/>
      <w:jc w:val="center"/>
      <w:outlineLvl w:val="3"/>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7">
    <w:name w:val="Bekezdés alapbetűtípusa7"/>
    <w:rsid w:val="00E76E9C"/>
  </w:style>
  <w:style w:type="character" w:customStyle="1" w:styleId="Absatz-Standardschriftart">
    <w:name w:val="Absatz-Standardschriftart"/>
    <w:rsid w:val="00E76E9C"/>
  </w:style>
  <w:style w:type="character" w:customStyle="1" w:styleId="Bekezdsalapbettpusa6">
    <w:name w:val="Bekezdés alapbetűtípusa6"/>
    <w:rsid w:val="00E76E9C"/>
  </w:style>
  <w:style w:type="character" w:customStyle="1" w:styleId="Bekezdsalapbettpusa5">
    <w:name w:val="Bekezdés alapbetűtípusa5"/>
    <w:rsid w:val="00E76E9C"/>
  </w:style>
  <w:style w:type="character" w:customStyle="1" w:styleId="Bekezdsalapbettpusa4">
    <w:name w:val="Bekezdés alapbetűtípusa4"/>
    <w:rsid w:val="00E76E9C"/>
  </w:style>
  <w:style w:type="character" w:customStyle="1" w:styleId="Bekezdsalapbettpusa3">
    <w:name w:val="Bekezdés alapbetűtípusa3"/>
    <w:rsid w:val="00E76E9C"/>
  </w:style>
  <w:style w:type="character" w:customStyle="1" w:styleId="Bekezdsalapbettpusa2">
    <w:name w:val="Bekezdés alapbetűtípusa2"/>
    <w:rsid w:val="00E76E9C"/>
  </w:style>
  <w:style w:type="character" w:customStyle="1" w:styleId="WW-Absatz-Standardschriftart">
    <w:name w:val="WW-Absatz-Standardschriftart"/>
    <w:rsid w:val="00E76E9C"/>
  </w:style>
  <w:style w:type="character" w:customStyle="1" w:styleId="WW-Absatz-Standardschriftart1">
    <w:name w:val="WW-Absatz-Standardschriftart1"/>
    <w:rsid w:val="00E76E9C"/>
  </w:style>
  <w:style w:type="character" w:customStyle="1" w:styleId="WW-Absatz-Standardschriftart11">
    <w:name w:val="WW-Absatz-Standardschriftart11"/>
    <w:rsid w:val="00E76E9C"/>
  </w:style>
  <w:style w:type="character" w:customStyle="1" w:styleId="Bekezdsalapbettpusa1">
    <w:name w:val="Bekezdés alapbetűtípusa1"/>
    <w:rsid w:val="00E76E9C"/>
  </w:style>
  <w:style w:type="paragraph" w:customStyle="1" w:styleId="Cmsor">
    <w:name w:val="Címsor"/>
    <w:basedOn w:val="Norml"/>
    <w:next w:val="Szvegtrzs"/>
    <w:rsid w:val="00E76E9C"/>
    <w:pPr>
      <w:keepNext/>
      <w:spacing w:before="240" w:after="120"/>
    </w:pPr>
    <w:rPr>
      <w:rFonts w:ascii="Arial" w:eastAsia="Lucida Sans Unicode" w:hAnsi="Arial" w:cs="Mangal"/>
      <w:sz w:val="28"/>
      <w:szCs w:val="28"/>
    </w:rPr>
  </w:style>
  <w:style w:type="paragraph" w:styleId="Szvegtrzs">
    <w:name w:val="Body Text"/>
    <w:basedOn w:val="Norml"/>
    <w:rsid w:val="00E76E9C"/>
    <w:pPr>
      <w:spacing w:after="120"/>
    </w:pPr>
  </w:style>
  <w:style w:type="paragraph" w:styleId="Lista">
    <w:name w:val="List"/>
    <w:basedOn w:val="Szvegtrzs"/>
    <w:rsid w:val="00E76E9C"/>
    <w:rPr>
      <w:rFonts w:cs="Mangal"/>
    </w:rPr>
  </w:style>
  <w:style w:type="paragraph" w:customStyle="1" w:styleId="Felirat">
    <w:name w:val="Felirat"/>
    <w:basedOn w:val="Norml"/>
    <w:rsid w:val="00E76E9C"/>
    <w:pPr>
      <w:suppressLineNumbers/>
      <w:spacing w:before="120" w:after="120"/>
    </w:pPr>
    <w:rPr>
      <w:rFonts w:cs="Mangal"/>
      <w:i/>
      <w:iCs/>
      <w:szCs w:val="24"/>
    </w:rPr>
  </w:style>
  <w:style w:type="paragraph" w:customStyle="1" w:styleId="Trgymutat">
    <w:name w:val="Tárgymutató"/>
    <w:basedOn w:val="Norml"/>
    <w:rsid w:val="00E76E9C"/>
    <w:pPr>
      <w:suppressLineNumbers/>
    </w:pPr>
    <w:rPr>
      <w:rFonts w:cs="Mangal"/>
    </w:rPr>
  </w:style>
  <w:style w:type="paragraph" w:styleId="lfej">
    <w:name w:val="header"/>
    <w:basedOn w:val="Norml"/>
    <w:rsid w:val="00E76E9C"/>
    <w:pPr>
      <w:tabs>
        <w:tab w:val="center" w:pos="4536"/>
        <w:tab w:val="right" w:pos="9072"/>
      </w:tabs>
    </w:pPr>
    <w:rPr>
      <w:sz w:val="20"/>
    </w:rPr>
  </w:style>
  <w:style w:type="paragraph" w:customStyle="1" w:styleId="Szvegtrzs21">
    <w:name w:val="Szövegtörzs 21"/>
    <w:basedOn w:val="Norml"/>
    <w:rsid w:val="00E76E9C"/>
    <w:pPr>
      <w:jc w:val="center"/>
    </w:pPr>
    <w:rPr>
      <w:sz w:val="28"/>
    </w:rPr>
  </w:style>
  <w:style w:type="paragraph" w:customStyle="1" w:styleId="Tblzattartalom">
    <w:name w:val="Táblázattartalom"/>
    <w:basedOn w:val="Norml"/>
    <w:rsid w:val="00E76E9C"/>
    <w:pPr>
      <w:suppressLineNumbers/>
    </w:pPr>
  </w:style>
  <w:style w:type="paragraph" w:customStyle="1" w:styleId="Tblzatfejlc">
    <w:name w:val="Táblázatfejléc"/>
    <w:basedOn w:val="Tblzattartalom"/>
    <w:rsid w:val="00E76E9C"/>
    <w:pPr>
      <w:jc w:val="center"/>
    </w:pPr>
    <w:rPr>
      <w:b/>
      <w:bCs/>
    </w:rPr>
  </w:style>
  <w:style w:type="paragraph" w:styleId="Buborkszveg">
    <w:name w:val="Balloon Text"/>
    <w:basedOn w:val="Norml"/>
    <w:semiHidden/>
    <w:rsid w:val="006E7B04"/>
    <w:rPr>
      <w:rFonts w:ascii="Tahoma" w:hAnsi="Tahoma" w:cs="Tahoma"/>
      <w:sz w:val="16"/>
      <w:szCs w:val="16"/>
    </w:rPr>
  </w:style>
  <w:style w:type="paragraph" w:customStyle="1" w:styleId="msolistparagraph0">
    <w:name w:val="msolistparagraph"/>
    <w:basedOn w:val="Norml"/>
    <w:rsid w:val="000662B4"/>
    <w:pPr>
      <w:widowControl w:val="0"/>
      <w:overflowPunct/>
      <w:autoSpaceDE/>
      <w:ind w:left="720"/>
    </w:pPr>
    <w:rPr>
      <w:rFonts w:ascii="Calibri" w:hAnsi="Calibri"/>
      <w:kern w:val="1"/>
      <w:sz w:val="22"/>
      <w:szCs w:val="22"/>
    </w:rPr>
  </w:style>
  <w:style w:type="paragraph" w:styleId="Listaszerbekezds">
    <w:name w:val="List Paragraph"/>
    <w:basedOn w:val="Norml"/>
    <w:uiPriority w:val="34"/>
    <w:qFormat/>
    <w:rsid w:val="0082639D"/>
    <w:pPr>
      <w:ind w:left="720"/>
      <w:contextualSpacing/>
    </w:pPr>
  </w:style>
  <w:style w:type="table" w:styleId="Rcsostblzat">
    <w:name w:val="Table Grid"/>
    <w:basedOn w:val="Normltblzat"/>
    <w:rsid w:val="00BF697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
    <w:name w:val="cf0"/>
    <w:basedOn w:val="Norml"/>
    <w:rsid w:val="0023301C"/>
    <w:pPr>
      <w:suppressAutoHyphens w:val="0"/>
      <w:overflowPunct/>
      <w:autoSpaceDE/>
      <w:spacing w:before="100" w:beforeAutospacing="1" w:after="100" w:afterAutospacing="1"/>
    </w:pPr>
    <w:rPr>
      <w:szCs w:val="24"/>
      <w:lang w:eastAsia="hu-HU"/>
    </w:rPr>
  </w:style>
  <w:style w:type="character" w:styleId="Hiperhivatkozs">
    <w:name w:val="Hyperlink"/>
    <w:basedOn w:val="Bekezdsalapbettpusa"/>
    <w:uiPriority w:val="99"/>
    <w:unhideWhenUsed/>
    <w:rsid w:val="0023301C"/>
    <w:rPr>
      <w:color w:val="0000FF"/>
      <w:u w:val="single"/>
    </w:rPr>
  </w:style>
  <w:style w:type="paragraph" w:styleId="llb">
    <w:name w:val="footer"/>
    <w:basedOn w:val="Norml"/>
    <w:link w:val="llbChar"/>
    <w:uiPriority w:val="99"/>
    <w:unhideWhenUsed/>
    <w:rsid w:val="00E87959"/>
    <w:pPr>
      <w:tabs>
        <w:tab w:val="center" w:pos="4536"/>
        <w:tab w:val="right" w:pos="9072"/>
      </w:tabs>
    </w:pPr>
  </w:style>
  <w:style w:type="character" w:customStyle="1" w:styleId="llbChar">
    <w:name w:val="Élőláb Char"/>
    <w:basedOn w:val="Bekezdsalapbettpusa"/>
    <w:link w:val="llb"/>
    <w:uiPriority w:val="99"/>
    <w:rsid w:val="00E87959"/>
    <w:rPr>
      <w:sz w:val="24"/>
      <w:lang w:eastAsia="ar-SA"/>
    </w:rPr>
  </w:style>
  <w:style w:type="paragraph" w:styleId="Vltozat">
    <w:name w:val="Revision"/>
    <w:hidden/>
    <w:uiPriority w:val="99"/>
    <w:semiHidden/>
    <w:rsid w:val="00C075D4"/>
    <w:rPr>
      <w:sz w:val="24"/>
      <w:lang w:eastAsia="ar-SA"/>
    </w:rPr>
  </w:style>
  <w:style w:type="character" w:styleId="Jegyzethivatkozs">
    <w:name w:val="annotation reference"/>
    <w:basedOn w:val="Bekezdsalapbettpusa"/>
    <w:semiHidden/>
    <w:unhideWhenUsed/>
    <w:rsid w:val="00DC3E12"/>
    <w:rPr>
      <w:sz w:val="16"/>
      <w:szCs w:val="16"/>
    </w:rPr>
  </w:style>
  <w:style w:type="paragraph" w:styleId="Jegyzetszveg">
    <w:name w:val="annotation text"/>
    <w:basedOn w:val="Norml"/>
    <w:link w:val="JegyzetszvegChar"/>
    <w:unhideWhenUsed/>
    <w:rsid w:val="00DC3E12"/>
    <w:rPr>
      <w:sz w:val="20"/>
    </w:rPr>
  </w:style>
  <w:style w:type="character" w:customStyle="1" w:styleId="JegyzetszvegChar">
    <w:name w:val="Jegyzetszöveg Char"/>
    <w:basedOn w:val="Bekezdsalapbettpusa"/>
    <w:link w:val="Jegyzetszveg"/>
    <w:rsid w:val="00DC3E12"/>
    <w:rPr>
      <w:lang w:eastAsia="ar-SA"/>
    </w:rPr>
  </w:style>
  <w:style w:type="paragraph" w:styleId="Megjegyzstrgya">
    <w:name w:val="annotation subject"/>
    <w:basedOn w:val="Jegyzetszveg"/>
    <w:next w:val="Jegyzetszveg"/>
    <w:link w:val="MegjegyzstrgyaChar"/>
    <w:semiHidden/>
    <w:unhideWhenUsed/>
    <w:rsid w:val="00DC3E12"/>
    <w:rPr>
      <w:b/>
      <w:bCs/>
    </w:rPr>
  </w:style>
  <w:style w:type="character" w:customStyle="1" w:styleId="MegjegyzstrgyaChar">
    <w:name w:val="Megjegyzés tárgya Char"/>
    <w:basedOn w:val="JegyzetszvegChar"/>
    <w:link w:val="Megjegyzstrgya"/>
    <w:semiHidden/>
    <w:rsid w:val="00DC3E12"/>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0900">
      <w:bodyDiv w:val="1"/>
      <w:marLeft w:val="0"/>
      <w:marRight w:val="0"/>
      <w:marTop w:val="0"/>
      <w:marBottom w:val="0"/>
      <w:divBdr>
        <w:top w:val="none" w:sz="0" w:space="0" w:color="auto"/>
        <w:left w:val="none" w:sz="0" w:space="0" w:color="auto"/>
        <w:bottom w:val="none" w:sz="0" w:space="0" w:color="auto"/>
        <w:right w:val="none" w:sz="0" w:space="0" w:color="auto"/>
      </w:divBdr>
    </w:div>
    <w:div w:id="1556428627">
      <w:bodyDiv w:val="1"/>
      <w:marLeft w:val="0"/>
      <w:marRight w:val="0"/>
      <w:marTop w:val="0"/>
      <w:marBottom w:val="0"/>
      <w:divBdr>
        <w:top w:val="none" w:sz="0" w:space="0" w:color="auto"/>
        <w:left w:val="none" w:sz="0" w:space="0" w:color="auto"/>
        <w:bottom w:val="none" w:sz="0" w:space="0" w:color="auto"/>
        <w:right w:val="none" w:sz="0" w:space="0" w:color="auto"/>
      </w:divBdr>
    </w:div>
    <w:div w:id="1560165229">
      <w:bodyDiv w:val="1"/>
      <w:marLeft w:val="0"/>
      <w:marRight w:val="0"/>
      <w:marTop w:val="0"/>
      <w:marBottom w:val="0"/>
      <w:divBdr>
        <w:top w:val="none" w:sz="0" w:space="0" w:color="auto"/>
        <w:left w:val="none" w:sz="0" w:space="0" w:color="auto"/>
        <w:bottom w:val="none" w:sz="0" w:space="0" w:color="auto"/>
        <w:right w:val="none" w:sz="0" w:space="0" w:color="auto"/>
      </w:divBdr>
    </w:div>
    <w:div w:id="1568495440">
      <w:bodyDiv w:val="1"/>
      <w:marLeft w:val="0"/>
      <w:marRight w:val="0"/>
      <w:marTop w:val="0"/>
      <w:marBottom w:val="0"/>
      <w:divBdr>
        <w:top w:val="none" w:sz="0" w:space="0" w:color="auto"/>
        <w:left w:val="none" w:sz="0" w:space="0" w:color="auto"/>
        <w:bottom w:val="none" w:sz="0" w:space="0" w:color="auto"/>
        <w:right w:val="none" w:sz="0" w:space="0" w:color="auto"/>
      </w:divBdr>
    </w:div>
    <w:div w:id="1978728608">
      <w:bodyDiv w:val="1"/>
      <w:marLeft w:val="0"/>
      <w:marRight w:val="0"/>
      <w:marTop w:val="0"/>
      <w:marBottom w:val="0"/>
      <w:divBdr>
        <w:top w:val="none" w:sz="0" w:space="0" w:color="auto"/>
        <w:left w:val="none" w:sz="0" w:space="0" w:color="auto"/>
        <w:bottom w:val="none" w:sz="0" w:space="0" w:color="auto"/>
        <w:right w:val="none" w:sz="0" w:space="0" w:color="auto"/>
      </w:divBdr>
    </w:div>
    <w:div w:id="211717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3.png@01DB7966.31DBB8F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947DA-6B32-4591-8F4D-C76700B0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1421</Words>
  <Characters>9807</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AgocsA</dc:creator>
  <cp:lastModifiedBy>Dr. Beregszászi Márk</cp:lastModifiedBy>
  <cp:revision>16</cp:revision>
  <cp:lastPrinted>2014-10-14T07:19:00Z</cp:lastPrinted>
  <dcterms:created xsi:type="dcterms:W3CDTF">2025-02-07T00:22:00Z</dcterms:created>
  <dcterms:modified xsi:type="dcterms:W3CDTF">2025-02-07T15:11:00Z</dcterms:modified>
</cp:coreProperties>
</file>