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66977" w14:textId="77777777" w:rsidR="004B02BA" w:rsidRDefault="004B02BA" w:rsidP="004B02BA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58F37B4F" wp14:editId="0FCE598C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3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A8E36E" w14:textId="77777777" w:rsidR="004B02BA" w:rsidRPr="00F421AE" w:rsidRDefault="004B02BA" w:rsidP="004B02BA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3529CDB3" w14:textId="77777777" w:rsidR="004B02BA" w:rsidRPr="00F421AE" w:rsidRDefault="004B02BA" w:rsidP="004B02BA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4B02BA" w:rsidRPr="004215ED" w14:paraId="6085157D" w14:textId="77777777" w:rsidTr="00A746C5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1FC52498" w14:textId="77777777" w:rsidR="004B02BA" w:rsidRPr="004215ED" w:rsidRDefault="004B02BA" w:rsidP="00A746C5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919A984" w14:textId="77777777" w:rsidR="004B02BA" w:rsidRPr="004215ED" w:rsidRDefault="004B02BA" w:rsidP="00A746C5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1889260A" w14:textId="77777777" w:rsidR="004B02BA" w:rsidRPr="004215ED" w:rsidRDefault="004B02BA" w:rsidP="00A746C5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4B02BA" w:rsidRPr="004215ED" w14:paraId="1D440C5F" w14:textId="77777777" w:rsidTr="00A746C5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63DAA" w14:textId="77777777" w:rsidR="004B02BA" w:rsidRDefault="004B02BA" w:rsidP="00A746C5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5AC89A1E" w14:textId="77777777" w:rsidR="004B02BA" w:rsidRPr="004215ED" w:rsidRDefault="004B02BA" w:rsidP="00A746C5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D585F" w14:textId="11A65487" w:rsidR="004B02BA" w:rsidRPr="004215ED" w:rsidRDefault="004B02BA" w:rsidP="004B02BA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2020.</w:t>
            </w:r>
            <w:r w:rsidR="00D00DD3">
              <w:rPr>
                <w:b/>
                <w:bCs/>
                <w:szCs w:val="24"/>
              </w:rPr>
              <w:t xml:space="preserve"> március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2ECB" w14:textId="77777777" w:rsidR="004B02BA" w:rsidRPr="004215ED" w:rsidRDefault="004B02BA" w:rsidP="00A746C5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/2020.</w:t>
            </w:r>
          </w:p>
        </w:tc>
      </w:tr>
    </w:tbl>
    <w:p w14:paraId="569B5E32" w14:textId="77777777" w:rsidR="004B02BA" w:rsidRDefault="004B02BA" w:rsidP="004B02BA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proofErr w:type="spellStart"/>
      <w:r w:rsidRPr="004B02BA">
        <w:rPr>
          <w:bCs/>
          <w:i/>
          <w:iCs/>
          <w:sz w:val="20"/>
        </w:rPr>
        <w:t>Johnné</w:t>
      </w:r>
      <w:proofErr w:type="spellEnd"/>
      <w:r w:rsidRPr="004B02BA">
        <w:rPr>
          <w:bCs/>
          <w:i/>
          <w:iCs/>
          <w:sz w:val="20"/>
        </w:rPr>
        <w:t xml:space="preserve"> Toldi Tímea</w:t>
      </w:r>
    </w:p>
    <w:p w14:paraId="21797B28" w14:textId="77777777" w:rsidR="004B02BA" w:rsidRDefault="004B02BA" w:rsidP="004B02BA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</w:p>
    <w:p w14:paraId="4C7682F3" w14:textId="77777777" w:rsidR="004B02BA" w:rsidRDefault="004B02BA" w:rsidP="004B02BA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798A80D0" w14:textId="77777777" w:rsidR="004B02BA" w:rsidRDefault="004B02BA" w:rsidP="004B02BA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>: minősített</w:t>
      </w:r>
      <w:r>
        <w:rPr>
          <w:bCs/>
          <w:i/>
          <w:iCs/>
          <w:sz w:val="20"/>
        </w:rPr>
        <w:t xml:space="preserve"> </w:t>
      </w:r>
      <w:r>
        <w:rPr>
          <w:i/>
          <w:iCs/>
          <w:sz w:val="20"/>
        </w:rPr>
        <w:t>többség</w:t>
      </w:r>
    </w:p>
    <w:p w14:paraId="517C91EA" w14:textId="77777777" w:rsidR="004B02BA" w:rsidRPr="00FD7016" w:rsidRDefault="004B02BA" w:rsidP="004B02BA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>
        <w:rPr>
          <w:bCs/>
          <w:i/>
          <w:iCs/>
          <w:sz w:val="20"/>
        </w:rPr>
        <w:t>Dr. Beregszászi Márk jegyző</w:t>
      </w:r>
    </w:p>
    <w:p w14:paraId="32F69CA5" w14:textId="77777777" w:rsidR="004B02BA" w:rsidRPr="00BF697A" w:rsidRDefault="004B02BA" w:rsidP="004B02BA">
      <w:pPr>
        <w:rPr>
          <w:b/>
          <w:szCs w:val="24"/>
        </w:rPr>
      </w:pPr>
    </w:p>
    <w:p w14:paraId="39E4293A" w14:textId="77777777" w:rsidR="004B02BA" w:rsidRPr="00330555" w:rsidRDefault="004B02BA" w:rsidP="004B02BA">
      <w:pPr>
        <w:jc w:val="both"/>
        <w:rPr>
          <w:i/>
          <w:sz w:val="20"/>
        </w:rPr>
      </w:pPr>
      <w:r w:rsidRPr="00330555">
        <w:rPr>
          <w:b/>
          <w:i/>
          <w:sz w:val="20"/>
          <w:u w:val="single"/>
        </w:rPr>
        <w:t>Tárgy</w:t>
      </w:r>
      <w:r w:rsidRPr="00330555">
        <w:rPr>
          <w:i/>
          <w:sz w:val="20"/>
        </w:rPr>
        <w:t xml:space="preserve">: A Solymár, belterület, 4071/1, 4071/3, 4072/2 és 4073 hrsz. alatt felvett </w:t>
      </w:r>
      <w:r>
        <w:rPr>
          <w:i/>
          <w:sz w:val="20"/>
        </w:rPr>
        <w:t>ingatlanok értékesítése</w:t>
      </w:r>
    </w:p>
    <w:p w14:paraId="010E7442" w14:textId="77777777" w:rsidR="004B02BA" w:rsidRDefault="004B02BA" w:rsidP="004B02BA">
      <w:pPr>
        <w:jc w:val="both"/>
        <w:rPr>
          <w:bCs/>
        </w:rPr>
      </w:pPr>
    </w:p>
    <w:p w14:paraId="228EC7D1" w14:textId="77777777" w:rsidR="004B02BA" w:rsidRPr="0023301C" w:rsidRDefault="004B02BA" w:rsidP="004B02B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5A946D79" w14:textId="77777777" w:rsidR="004B02BA" w:rsidRPr="0023301C" w:rsidRDefault="004B02BA" w:rsidP="004B02BA">
      <w:pPr>
        <w:jc w:val="center"/>
        <w:rPr>
          <w:b/>
          <w:bCs/>
          <w:iCs/>
          <w:sz w:val="22"/>
          <w:szCs w:val="22"/>
        </w:rPr>
      </w:pPr>
    </w:p>
    <w:p w14:paraId="0B38AA6B" w14:textId="77777777" w:rsidR="00E04795" w:rsidRPr="00C05AF1" w:rsidRDefault="004B02BA" w:rsidP="004B02BA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A T. Képviselő-testület</w:t>
      </w:r>
      <w:r w:rsidR="00E04795" w:rsidRPr="00C05AF1">
        <w:rPr>
          <w:sz w:val="22"/>
          <w:szCs w:val="22"/>
        </w:rPr>
        <w:t xml:space="preserve"> a 4/2020. (I. 29.) számú határozatában döntött arról, hogy értékesíteni kívánja a Solymár, belterület 4071/1, 4071/3, 4072/2 és 4073 hrsz. alatt felvett, önkormányzati tulajdonban lévő ingatlanokat. </w:t>
      </w:r>
    </w:p>
    <w:p w14:paraId="17EE7270" w14:textId="77777777" w:rsidR="004B02BA" w:rsidRPr="00C05AF1" w:rsidRDefault="004B02BA" w:rsidP="004B02BA">
      <w:pPr>
        <w:jc w:val="both"/>
        <w:rPr>
          <w:sz w:val="22"/>
          <w:szCs w:val="22"/>
        </w:rPr>
      </w:pPr>
    </w:p>
    <w:p w14:paraId="31A8E291" w14:textId="77777777" w:rsidR="004B02BA" w:rsidRPr="00C05AF1" w:rsidRDefault="004B02BA" w:rsidP="004B02BA">
      <w:pPr>
        <w:keepNext/>
        <w:jc w:val="both"/>
        <w:rPr>
          <w:sz w:val="22"/>
          <w:szCs w:val="22"/>
        </w:rPr>
      </w:pPr>
      <w:r w:rsidRPr="00C05AF1">
        <w:rPr>
          <w:noProof/>
          <w:sz w:val="22"/>
          <w:szCs w:val="22"/>
          <w:lang w:eastAsia="hu-HU"/>
        </w:rPr>
        <w:drawing>
          <wp:inline distT="0" distB="0" distL="0" distR="0" wp14:anchorId="7A4E0D26" wp14:editId="1F5B5AFA">
            <wp:extent cx="5760720" cy="1933575"/>
            <wp:effectExtent l="0" t="0" r="0" b="0"/>
            <wp:docPr id="4" name="Kép 3" descr="A képen szöveg, tér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egyzet 2020-01-24 10092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8B123" w14:textId="77777777" w:rsidR="004B02BA" w:rsidRPr="00C05AF1" w:rsidRDefault="004B02BA" w:rsidP="004B02BA">
      <w:pPr>
        <w:pStyle w:val="Kpalrs"/>
        <w:jc w:val="both"/>
        <w:rPr>
          <w:sz w:val="22"/>
          <w:szCs w:val="22"/>
        </w:rPr>
      </w:pPr>
      <w:r w:rsidRPr="00C05AF1">
        <w:rPr>
          <w:sz w:val="22"/>
          <w:szCs w:val="22"/>
        </w:rPr>
        <w:t>A négy telek világos zöld keretben</w:t>
      </w:r>
    </w:p>
    <w:p w14:paraId="63806B19" w14:textId="77777777" w:rsidR="00E04795" w:rsidRPr="00C05AF1" w:rsidRDefault="00E04795" w:rsidP="00E04795">
      <w:pPr>
        <w:jc w:val="both"/>
        <w:rPr>
          <w:bCs/>
          <w:sz w:val="22"/>
          <w:szCs w:val="22"/>
        </w:rPr>
      </w:pPr>
      <w:r w:rsidRPr="00C05AF1">
        <w:rPr>
          <w:bCs/>
          <w:sz w:val="22"/>
          <w:szCs w:val="22"/>
        </w:rPr>
        <w:t xml:space="preserve">Az árverés előkészítéséhez szükséges két értékbecslést a Hivatal elkészíttette. </w:t>
      </w:r>
    </w:p>
    <w:p w14:paraId="509980B0" w14:textId="77777777" w:rsidR="00E04795" w:rsidRPr="00C05AF1" w:rsidRDefault="00E04795" w:rsidP="00E04795">
      <w:pPr>
        <w:jc w:val="both"/>
        <w:rPr>
          <w:bCs/>
          <w:sz w:val="22"/>
          <w:szCs w:val="22"/>
        </w:rPr>
      </w:pPr>
    </w:p>
    <w:p w14:paraId="2BEABB47" w14:textId="77777777" w:rsidR="00E04795" w:rsidRDefault="00E04795" w:rsidP="00E04795">
      <w:pPr>
        <w:jc w:val="both"/>
        <w:rPr>
          <w:bCs/>
          <w:sz w:val="22"/>
          <w:szCs w:val="22"/>
        </w:rPr>
      </w:pPr>
      <w:r w:rsidRPr="00C05AF1">
        <w:rPr>
          <w:bCs/>
          <w:sz w:val="22"/>
          <w:szCs w:val="22"/>
        </w:rPr>
        <w:t xml:space="preserve">A </w:t>
      </w:r>
      <w:proofErr w:type="spellStart"/>
      <w:r w:rsidRPr="00C05AF1">
        <w:rPr>
          <w:bCs/>
          <w:sz w:val="22"/>
          <w:szCs w:val="22"/>
        </w:rPr>
        <w:t>Liquid</w:t>
      </w:r>
      <w:proofErr w:type="spellEnd"/>
      <w:r w:rsidRPr="00C05AF1">
        <w:rPr>
          <w:bCs/>
          <w:sz w:val="22"/>
          <w:szCs w:val="22"/>
        </w:rPr>
        <w:t xml:space="preserve"> 2008 Vagyonértékelő Szakiroda az ingatlanok piaci-forgalmi értékét az alábbiak szerint határozta meg. </w:t>
      </w:r>
    </w:p>
    <w:p w14:paraId="671F5660" w14:textId="24720529" w:rsidR="00A746C5" w:rsidRPr="00C05AF1" w:rsidRDefault="00A746C5" w:rsidP="00E04795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4071/1 hrsz.</w:t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 w:rsidRPr="00C05AF1">
        <w:rPr>
          <w:bCs/>
          <w:sz w:val="22"/>
          <w:szCs w:val="22"/>
        </w:rPr>
        <w:t xml:space="preserve">nettó </w:t>
      </w:r>
      <w:r w:rsidR="006D7376">
        <w:rPr>
          <w:bCs/>
          <w:sz w:val="22"/>
          <w:szCs w:val="22"/>
        </w:rPr>
        <w:t xml:space="preserve">  </w:t>
      </w:r>
      <w:proofErr w:type="gramStart"/>
      <w:r w:rsidR="006D7376">
        <w:rPr>
          <w:bCs/>
          <w:sz w:val="22"/>
          <w:szCs w:val="22"/>
        </w:rPr>
        <w:t>33.900.000</w:t>
      </w:r>
      <w:r w:rsidR="00C05AF1" w:rsidRPr="00C05AF1">
        <w:rPr>
          <w:bCs/>
          <w:sz w:val="22"/>
          <w:szCs w:val="22"/>
        </w:rPr>
        <w:t>,-</w:t>
      </w:r>
      <w:proofErr w:type="gramEnd"/>
      <w:r w:rsidR="00C05AF1" w:rsidRPr="00C05AF1">
        <w:rPr>
          <w:bCs/>
          <w:sz w:val="22"/>
          <w:szCs w:val="22"/>
        </w:rPr>
        <w:t xml:space="preserve"> </w:t>
      </w:r>
      <w:proofErr w:type="spellStart"/>
      <w:r w:rsidR="00C05AF1" w:rsidRPr="00C05AF1">
        <w:rPr>
          <w:bCs/>
          <w:sz w:val="22"/>
          <w:szCs w:val="22"/>
        </w:rPr>
        <w:t>Ft+ÁFA</w:t>
      </w:r>
      <w:proofErr w:type="spellEnd"/>
      <w:r w:rsidR="00C05AF1" w:rsidRPr="00C05AF1">
        <w:rPr>
          <w:bCs/>
          <w:sz w:val="22"/>
          <w:szCs w:val="22"/>
        </w:rPr>
        <w:t xml:space="preserve">, </w:t>
      </w:r>
    </w:p>
    <w:p w14:paraId="38419AEF" w14:textId="794245E4" w:rsidR="00A746C5" w:rsidRPr="00C05AF1" w:rsidRDefault="00A746C5" w:rsidP="00E04795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4071/3 hrsz.</w:t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 w:rsidRPr="00C05AF1">
        <w:rPr>
          <w:bCs/>
          <w:sz w:val="22"/>
          <w:szCs w:val="22"/>
        </w:rPr>
        <w:t xml:space="preserve">nettó </w:t>
      </w:r>
      <w:r w:rsidR="006D7376">
        <w:rPr>
          <w:bCs/>
          <w:sz w:val="22"/>
          <w:szCs w:val="22"/>
        </w:rPr>
        <w:t xml:space="preserve">  </w:t>
      </w:r>
      <w:proofErr w:type="gramStart"/>
      <w:r w:rsidR="006D7376">
        <w:rPr>
          <w:bCs/>
          <w:sz w:val="22"/>
          <w:szCs w:val="22"/>
        </w:rPr>
        <w:t>74.300.000</w:t>
      </w:r>
      <w:r w:rsidR="00C05AF1" w:rsidRPr="00C05AF1">
        <w:rPr>
          <w:bCs/>
          <w:sz w:val="22"/>
          <w:szCs w:val="22"/>
        </w:rPr>
        <w:t>,-</w:t>
      </w:r>
      <w:proofErr w:type="gramEnd"/>
      <w:r w:rsidR="00C05AF1" w:rsidRPr="00C05AF1">
        <w:rPr>
          <w:bCs/>
          <w:sz w:val="22"/>
          <w:szCs w:val="22"/>
        </w:rPr>
        <w:t xml:space="preserve"> </w:t>
      </w:r>
      <w:proofErr w:type="spellStart"/>
      <w:r w:rsidR="00C05AF1" w:rsidRPr="00C05AF1">
        <w:rPr>
          <w:bCs/>
          <w:sz w:val="22"/>
          <w:szCs w:val="22"/>
        </w:rPr>
        <w:t>Ft+ÁFA</w:t>
      </w:r>
      <w:proofErr w:type="spellEnd"/>
      <w:r w:rsidR="00C05AF1" w:rsidRPr="00C05AF1">
        <w:rPr>
          <w:bCs/>
          <w:sz w:val="22"/>
          <w:szCs w:val="22"/>
        </w:rPr>
        <w:t xml:space="preserve">, </w:t>
      </w:r>
    </w:p>
    <w:p w14:paraId="47E1988B" w14:textId="5A410FB5" w:rsidR="00A746C5" w:rsidRPr="00C05AF1" w:rsidRDefault="00A746C5" w:rsidP="00E04795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4072/2 hrsz.</w:t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 w:rsidRPr="00C05AF1">
        <w:rPr>
          <w:bCs/>
          <w:sz w:val="22"/>
          <w:szCs w:val="22"/>
        </w:rPr>
        <w:t xml:space="preserve">nettó </w:t>
      </w:r>
      <w:r w:rsidR="006D7376">
        <w:rPr>
          <w:bCs/>
          <w:sz w:val="22"/>
          <w:szCs w:val="22"/>
        </w:rPr>
        <w:t xml:space="preserve">  </w:t>
      </w:r>
      <w:proofErr w:type="gramStart"/>
      <w:r w:rsidR="006D7376">
        <w:rPr>
          <w:bCs/>
          <w:sz w:val="22"/>
          <w:szCs w:val="22"/>
        </w:rPr>
        <w:t>30.200.000</w:t>
      </w:r>
      <w:r w:rsidR="00C05AF1" w:rsidRPr="00C05AF1">
        <w:rPr>
          <w:bCs/>
          <w:sz w:val="22"/>
          <w:szCs w:val="22"/>
        </w:rPr>
        <w:t>,-</w:t>
      </w:r>
      <w:proofErr w:type="gramEnd"/>
      <w:r w:rsidR="00C05AF1" w:rsidRPr="00C05AF1">
        <w:rPr>
          <w:bCs/>
          <w:sz w:val="22"/>
          <w:szCs w:val="22"/>
        </w:rPr>
        <w:t xml:space="preserve"> </w:t>
      </w:r>
      <w:proofErr w:type="spellStart"/>
      <w:r w:rsidR="00C05AF1" w:rsidRPr="00C05AF1">
        <w:rPr>
          <w:bCs/>
          <w:sz w:val="22"/>
          <w:szCs w:val="22"/>
        </w:rPr>
        <w:t>Ft+ÁFA</w:t>
      </w:r>
      <w:proofErr w:type="spellEnd"/>
      <w:r w:rsidR="00C05AF1" w:rsidRPr="00C05AF1">
        <w:rPr>
          <w:bCs/>
          <w:sz w:val="22"/>
          <w:szCs w:val="22"/>
        </w:rPr>
        <w:t xml:space="preserve">, </w:t>
      </w:r>
    </w:p>
    <w:p w14:paraId="34A5DE8B" w14:textId="601B3D93" w:rsidR="00E04795" w:rsidRPr="00C05AF1" w:rsidRDefault="00A746C5" w:rsidP="00E04795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4073 hrsz.</w:t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>
        <w:rPr>
          <w:sz w:val="22"/>
          <w:szCs w:val="22"/>
        </w:rPr>
        <w:tab/>
      </w:r>
      <w:r w:rsidR="00C05AF1" w:rsidRPr="00C05AF1">
        <w:rPr>
          <w:bCs/>
          <w:sz w:val="22"/>
          <w:szCs w:val="22"/>
        </w:rPr>
        <w:t xml:space="preserve">nettó </w:t>
      </w:r>
      <w:proofErr w:type="gramStart"/>
      <w:r w:rsidR="006D7376">
        <w:rPr>
          <w:bCs/>
          <w:sz w:val="22"/>
          <w:szCs w:val="22"/>
        </w:rPr>
        <w:t>117.300.000</w:t>
      </w:r>
      <w:r w:rsidR="00C05AF1" w:rsidRPr="00C05AF1">
        <w:rPr>
          <w:bCs/>
          <w:sz w:val="22"/>
          <w:szCs w:val="22"/>
        </w:rPr>
        <w:t>,-</w:t>
      </w:r>
      <w:proofErr w:type="gramEnd"/>
      <w:r w:rsidR="00C05AF1" w:rsidRPr="00C05AF1">
        <w:rPr>
          <w:bCs/>
          <w:sz w:val="22"/>
          <w:szCs w:val="22"/>
        </w:rPr>
        <w:t xml:space="preserve"> </w:t>
      </w:r>
      <w:proofErr w:type="spellStart"/>
      <w:r w:rsidR="00C05AF1" w:rsidRPr="00C05AF1">
        <w:rPr>
          <w:bCs/>
          <w:sz w:val="22"/>
          <w:szCs w:val="22"/>
        </w:rPr>
        <w:t>Ft+ÁFA</w:t>
      </w:r>
      <w:proofErr w:type="spellEnd"/>
      <w:r w:rsidR="00C05AF1" w:rsidRPr="00C05AF1">
        <w:rPr>
          <w:bCs/>
          <w:sz w:val="22"/>
          <w:szCs w:val="22"/>
        </w:rPr>
        <w:t xml:space="preserve">, </w:t>
      </w:r>
    </w:p>
    <w:p w14:paraId="5A57505D" w14:textId="77777777" w:rsidR="00E04795" w:rsidRPr="00C05AF1" w:rsidRDefault="00E04795" w:rsidP="00E04795">
      <w:pPr>
        <w:jc w:val="both"/>
        <w:rPr>
          <w:bCs/>
          <w:sz w:val="22"/>
          <w:szCs w:val="22"/>
        </w:rPr>
      </w:pPr>
    </w:p>
    <w:p w14:paraId="62B2DFC4" w14:textId="77777777" w:rsidR="00C05AF1" w:rsidRDefault="00E04795" w:rsidP="00E04795">
      <w:pPr>
        <w:jc w:val="both"/>
        <w:rPr>
          <w:bCs/>
          <w:sz w:val="22"/>
          <w:szCs w:val="22"/>
        </w:rPr>
      </w:pPr>
      <w:r w:rsidRPr="00C05AF1">
        <w:rPr>
          <w:bCs/>
          <w:sz w:val="22"/>
          <w:szCs w:val="22"/>
        </w:rPr>
        <w:t xml:space="preserve">Az </w:t>
      </w:r>
      <w:proofErr w:type="spellStart"/>
      <w:r w:rsidRPr="00C05AF1">
        <w:rPr>
          <w:bCs/>
          <w:sz w:val="22"/>
          <w:szCs w:val="22"/>
        </w:rPr>
        <w:t>Immobile</w:t>
      </w:r>
      <w:proofErr w:type="spellEnd"/>
      <w:r w:rsidRPr="00C05AF1">
        <w:rPr>
          <w:bCs/>
          <w:sz w:val="22"/>
          <w:szCs w:val="22"/>
        </w:rPr>
        <w:t xml:space="preserve"> </w:t>
      </w:r>
      <w:proofErr w:type="spellStart"/>
      <w:r w:rsidRPr="00C05AF1">
        <w:rPr>
          <w:bCs/>
          <w:sz w:val="22"/>
          <w:szCs w:val="22"/>
        </w:rPr>
        <w:t>Expert</w:t>
      </w:r>
      <w:proofErr w:type="spellEnd"/>
      <w:r w:rsidRPr="00C05AF1">
        <w:rPr>
          <w:bCs/>
          <w:sz w:val="22"/>
          <w:szCs w:val="22"/>
        </w:rPr>
        <w:t xml:space="preserve"> Vagyonértékelő Bt. az ingatlan</w:t>
      </w:r>
      <w:r w:rsidR="00C05AF1">
        <w:rPr>
          <w:bCs/>
          <w:sz w:val="22"/>
          <w:szCs w:val="22"/>
        </w:rPr>
        <w:t>ok</w:t>
      </w:r>
      <w:r w:rsidRPr="00C05AF1">
        <w:rPr>
          <w:bCs/>
          <w:sz w:val="22"/>
          <w:szCs w:val="22"/>
        </w:rPr>
        <w:t xml:space="preserve"> aktuális piaci értékét </w:t>
      </w:r>
      <w:r w:rsidR="00C05AF1">
        <w:rPr>
          <w:bCs/>
          <w:sz w:val="22"/>
          <w:szCs w:val="22"/>
        </w:rPr>
        <w:t>az alábbiak szerint határozat meg.</w:t>
      </w:r>
    </w:p>
    <w:p w14:paraId="033F5632" w14:textId="3EC37E76" w:rsidR="00C05AF1" w:rsidRPr="00C05AF1" w:rsidRDefault="00C05AF1" w:rsidP="00C05AF1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4071/1 hrsz.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05AF1">
        <w:rPr>
          <w:bCs/>
          <w:sz w:val="22"/>
          <w:szCs w:val="22"/>
        </w:rPr>
        <w:t xml:space="preserve">nettó </w:t>
      </w:r>
      <w:proofErr w:type="gramStart"/>
      <w:r>
        <w:rPr>
          <w:bCs/>
          <w:sz w:val="22"/>
          <w:szCs w:val="22"/>
        </w:rPr>
        <w:t>40.900.000</w:t>
      </w:r>
      <w:r w:rsidRPr="00C05AF1">
        <w:rPr>
          <w:bCs/>
          <w:sz w:val="22"/>
          <w:szCs w:val="22"/>
        </w:rPr>
        <w:t>,-</w:t>
      </w:r>
      <w:proofErr w:type="gramEnd"/>
      <w:r w:rsidRPr="00C05AF1">
        <w:rPr>
          <w:bCs/>
          <w:sz w:val="22"/>
          <w:szCs w:val="22"/>
        </w:rPr>
        <w:t xml:space="preserve"> </w:t>
      </w:r>
      <w:proofErr w:type="spellStart"/>
      <w:r w:rsidRPr="00C05AF1">
        <w:rPr>
          <w:bCs/>
          <w:sz w:val="22"/>
          <w:szCs w:val="22"/>
        </w:rPr>
        <w:t>Ft+ÁFA</w:t>
      </w:r>
      <w:proofErr w:type="spellEnd"/>
      <w:r w:rsidRPr="00C05AF1">
        <w:rPr>
          <w:bCs/>
          <w:sz w:val="22"/>
          <w:szCs w:val="22"/>
        </w:rPr>
        <w:t xml:space="preserve">, </w:t>
      </w:r>
    </w:p>
    <w:p w14:paraId="2FDA7689" w14:textId="6D4EC34A" w:rsidR="00C05AF1" w:rsidRPr="00C05AF1" w:rsidRDefault="00C05AF1" w:rsidP="00C05AF1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4071/3 hrsz.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05AF1">
        <w:rPr>
          <w:bCs/>
          <w:sz w:val="22"/>
          <w:szCs w:val="22"/>
        </w:rPr>
        <w:t xml:space="preserve">nettó </w:t>
      </w:r>
      <w:proofErr w:type="gramStart"/>
      <w:r>
        <w:rPr>
          <w:bCs/>
          <w:sz w:val="22"/>
          <w:szCs w:val="22"/>
        </w:rPr>
        <w:t>66.300.000</w:t>
      </w:r>
      <w:r w:rsidRPr="00C05AF1">
        <w:rPr>
          <w:bCs/>
          <w:sz w:val="22"/>
          <w:szCs w:val="22"/>
        </w:rPr>
        <w:t>,-</w:t>
      </w:r>
      <w:proofErr w:type="gramEnd"/>
      <w:r w:rsidRPr="00C05AF1">
        <w:rPr>
          <w:bCs/>
          <w:sz w:val="22"/>
          <w:szCs w:val="22"/>
        </w:rPr>
        <w:t xml:space="preserve"> </w:t>
      </w:r>
      <w:proofErr w:type="spellStart"/>
      <w:r w:rsidRPr="00C05AF1">
        <w:rPr>
          <w:bCs/>
          <w:sz w:val="22"/>
          <w:szCs w:val="22"/>
        </w:rPr>
        <w:t>Ft+ÁFA</w:t>
      </w:r>
      <w:proofErr w:type="spellEnd"/>
      <w:r w:rsidRPr="00C05AF1">
        <w:rPr>
          <w:bCs/>
          <w:sz w:val="22"/>
          <w:szCs w:val="22"/>
        </w:rPr>
        <w:t xml:space="preserve">, </w:t>
      </w:r>
    </w:p>
    <w:p w14:paraId="6B022C5A" w14:textId="5DF62634" w:rsidR="00C05AF1" w:rsidRPr="00C05AF1" w:rsidRDefault="00C05AF1" w:rsidP="00C05AF1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4072/2 hrsz.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05AF1">
        <w:rPr>
          <w:bCs/>
          <w:sz w:val="22"/>
          <w:szCs w:val="22"/>
        </w:rPr>
        <w:t xml:space="preserve">nettó </w:t>
      </w:r>
      <w:proofErr w:type="gramStart"/>
      <w:r>
        <w:rPr>
          <w:bCs/>
          <w:sz w:val="22"/>
          <w:szCs w:val="22"/>
        </w:rPr>
        <w:t>27.500.000</w:t>
      </w:r>
      <w:r w:rsidRPr="00C05AF1">
        <w:rPr>
          <w:bCs/>
          <w:sz w:val="22"/>
          <w:szCs w:val="22"/>
        </w:rPr>
        <w:t>,-</w:t>
      </w:r>
      <w:proofErr w:type="gramEnd"/>
      <w:r w:rsidRPr="00C05AF1">
        <w:rPr>
          <w:bCs/>
          <w:sz w:val="22"/>
          <w:szCs w:val="22"/>
        </w:rPr>
        <w:t xml:space="preserve"> </w:t>
      </w:r>
      <w:proofErr w:type="spellStart"/>
      <w:r w:rsidRPr="00C05AF1">
        <w:rPr>
          <w:bCs/>
          <w:sz w:val="22"/>
          <w:szCs w:val="22"/>
        </w:rPr>
        <w:t>Ft+ÁFA</w:t>
      </w:r>
      <w:proofErr w:type="spellEnd"/>
      <w:r w:rsidRPr="00C05AF1">
        <w:rPr>
          <w:bCs/>
          <w:sz w:val="22"/>
          <w:szCs w:val="22"/>
        </w:rPr>
        <w:t xml:space="preserve">, </w:t>
      </w:r>
    </w:p>
    <w:p w14:paraId="4D6C6D95" w14:textId="1B039133" w:rsidR="00C05AF1" w:rsidRPr="00C05AF1" w:rsidRDefault="00C05AF1" w:rsidP="00C05AF1">
      <w:pPr>
        <w:jc w:val="both"/>
        <w:rPr>
          <w:sz w:val="22"/>
          <w:szCs w:val="22"/>
        </w:rPr>
      </w:pPr>
      <w:r w:rsidRPr="00C05AF1">
        <w:rPr>
          <w:sz w:val="22"/>
          <w:szCs w:val="22"/>
        </w:rPr>
        <w:t>4073 hrsz.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05AF1">
        <w:rPr>
          <w:bCs/>
          <w:sz w:val="22"/>
          <w:szCs w:val="22"/>
        </w:rPr>
        <w:t xml:space="preserve">nettó </w:t>
      </w:r>
      <w:proofErr w:type="gramStart"/>
      <w:r>
        <w:rPr>
          <w:bCs/>
          <w:sz w:val="22"/>
          <w:szCs w:val="22"/>
        </w:rPr>
        <w:t>98.400.000</w:t>
      </w:r>
      <w:r w:rsidRPr="00C05AF1">
        <w:rPr>
          <w:bCs/>
          <w:sz w:val="22"/>
          <w:szCs w:val="22"/>
        </w:rPr>
        <w:t>,-</w:t>
      </w:r>
      <w:proofErr w:type="gramEnd"/>
      <w:r w:rsidRPr="00C05AF1">
        <w:rPr>
          <w:bCs/>
          <w:sz w:val="22"/>
          <w:szCs w:val="22"/>
        </w:rPr>
        <w:t xml:space="preserve"> </w:t>
      </w:r>
      <w:proofErr w:type="spellStart"/>
      <w:r w:rsidRPr="00C05AF1">
        <w:rPr>
          <w:bCs/>
          <w:sz w:val="22"/>
          <w:szCs w:val="22"/>
        </w:rPr>
        <w:t>Ft+ÁFA</w:t>
      </w:r>
      <w:proofErr w:type="spellEnd"/>
      <w:r w:rsidRPr="00C05AF1">
        <w:rPr>
          <w:bCs/>
          <w:sz w:val="22"/>
          <w:szCs w:val="22"/>
        </w:rPr>
        <w:t xml:space="preserve">, </w:t>
      </w:r>
    </w:p>
    <w:p w14:paraId="53B4D4C1" w14:textId="77777777" w:rsidR="00C05AF1" w:rsidRDefault="00C05AF1" w:rsidP="00E04795">
      <w:pPr>
        <w:jc w:val="both"/>
        <w:rPr>
          <w:bCs/>
          <w:sz w:val="22"/>
          <w:szCs w:val="22"/>
        </w:rPr>
      </w:pPr>
    </w:p>
    <w:p w14:paraId="17C9BD4C" w14:textId="2701DC12" w:rsidR="002E02F1" w:rsidRPr="005C7CF5" w:rsidRDefault="002E02F1" w:rsidP="00E04795">
      <w:pPr>
        <w:jc w:val="both"/>
        <w:rPr>
          <w:bCs/>
          <w:color w:val="000000" w:themeColor="text1"/>
          <w:sz w:val="22"/>
          <w:szCs w:val="22"/>
        </w:rPr>
      </w:pPr>
      <w:r w:rsidRPr="005C7CF5">
        <w:rPr>
          <w:bCs/>
          <w:color w:val="000000" w:themeColor="text1"/>
          <w:sz w:val="22"/>
          <w:szCs w:val="22"/>
        </w:rPr>
        <w:lastRenderedPageBreak/>
        <w:t xml:space="preserve">Az önkormányzat a kereskedelmi beruházással összefüggésben a </w:t>
      </w:r>
      <w:r w:rsidR="006D7376">
        <w:rPr>
          <w:bCs/>
          <w:color w:val="000000" w:themeColor="text1"/>
          <w:sz w:val="22"/>
          <w:szCs w:val="22"/>
        </w:rPr>
        <w:t xml:space="preserve">4071/1, 4071/3, 4072/2, 4073 </w:t>
      </w:r>
      <w:r w:rsidRPr="005C7CF5">
        <w:rPr>
          <w:bCs/>
          <w:color w:val="000000" w:themeColor="text1"/>
          <w:sz w:val="22"/>
          <w:szCs w:val="22"/>
        </w:rPr>
        <w:t xml:space="preserve">hrsz. alatti ingatlanok értékesítésére előszerződést kötött az </w:t>
      </w:r>
      <w:r w:rsidR="006D7376">
        <w:rPr>
          <w:bCs/>
          <w:color w:val="000000" w:themeColor="text1"/>
          <w:sz w:val="22"/>
          <w:szCs w:val="22"/>
        </w:rPr>
        <w:t>Auchan Magyarország Kft</w:t>
      </w:r>
      <w:r w:rsidRPr="005C7CF5">
        <w:rPr>
          <w:bCs/>
          <w:color w:val="000000" w:themeColor="text1"/>
          <w:sz w:val="22"/>
          <w:szCs w:val="22"/>
        </w:rPr>
        <w:t>-vel</w:t>
      </w:r>
      <w:r w:rsidR="00753155" w:rsidRPr="005C7CF5">
        <w:rPr>
          <w:bCs/>
          <w:color w:val="000000" w:themeColor="text1"/>
          <w:sz w:val="22"/>
          <w:szCs w:val="22"/>
        </w:rPr>
        <w:t xml:space="preserve"> </w:t>
      </w:r>
      <w:r w:rsidR="006D7376">
        <w:rPr>
          <w:bCs/>
          <w:color w:val="000000" w:themeColor="text1"/>
          <w:sz w:val="22"/>
          <w:szCs w:val="22"/>
        </w:rPr>
        <w:t xml:space="preserve">(továbbiakban „Auchan”) </w:t>
      </w:r>
      <w:r w:rsidR="00753155" w:rsidRPr="005C7CF5">
        <w:rPr>
          <w:bCs/>
          <w:color w:val="000000" w:themeColor="text1"/>
          <w:sz w:val="22"/>
          <w:szCs w:val="22"/>
        </w:rPr>
        <w:t xml:space="preserve">és az </w:t>
      </w:r>
      <w:r w:rsidR="006D7376">
        <w:rPr>
          <w:bCs/>
          <w:color w:val="000000" w:themeColor="text1"/>
          <w:sz w:val="22"/>
          <w:szCs w:val="22"/>
        </w:rPr>
        <w:t>Auchan</w:t>
      </w:r>
      <w:r w:rsidR="00753155" w:rsidRPr="005C7CF5">
        <w:rPr>
          <w:bCs/>
          <w:color w:val="000000" w:themeColor="text1"/>
          <w:sz w:val="22"/>
          <w:szCs w:val="22"/>
        </w:rPr>
        <w:t xml:space="preserve"> az ingatlanok előszerződés szerinti vételárát kifizette az önkormányzat részére</w:t>
      </w:r>
      <w:r w:rsidRPr="005C7CF5">
        <w:rPr>
          <w:bCs/>
          <w:color w:val="000000" w:themeColor="text1"/>
          <w:sz w:val="22"/>
          <w:szCs w:val="22"/>
        </w:rPr>
        <w:t xml:space="preserve">. Az ingatlanokat végül az </w:t>
      </w:r>
      <w:r w:rsidR="006D7376">
        <w:rPr>
          <w:bCs/>
          <w:color w:val="000000" w:themeColor="text1"/>
          <w:sz w:val="22"/>
          <w:szCs w:val="22"/>
        </w:rPr>
        <w:t>Auchan n</w:t>
      </w:r>
      <w:r w:rsidRPr="005C7CF5">
        <w:rPr>
          <w:bCs/>
          <w:color w:val="000000" w:themeColor="text1"/>
          <w:sz w:val="22"/>
          <w:szCs w:val="22"/>
        </w:rPr>
        <w:t xml:space="preserve">em használta fel a beruházáshoz, így </w:t>
      </w:r>
      <w:r w:rsidR="00753155" w:rsidRPr="005C7CF5">
        <w:rPr>
          <w:bCs/>
          <w:color w:val="000000" w:themeColor="text1"/>
          <w:sz w:val="22"/>
          <w:szCs w:val="22"/>
        </w:rPr>
        <w:t xml:space="preserve">végleges adásvételi szerződés nem jött létre. Az ingatlanok rendezésére irányuló egyeztetések eredményeként az </w:t>
      </w:r>
      <w:r w:rsidR="006D7376">
        <w:rPr>
          <w:bCs/>
          <w:color w:val="000000" w:themeColor="text1"/>
          <w:sz w:val="22"/>
          <w:szCs w:val="22"/>
        </w:rPr>
        <w:t>Auchan</w:t>
      </w:r>
      <w:r w:rsidR="00753155" w:rsidRPr="005C7CF5">
        <w:rPr>
          <w:bCs/>
          <w:color w:val="000000" w:themeColor="text1"/>
          <w:sz w:val="22"/>
          <w:szCs w:val="22"/>
        </w:rPr>
        <w:t xml:space="preserve"> </w:t>
      </w:r>
      <w:r w:rsidRPr="005C7CF5">
        <w:rPr>
          <w:bCs/>
          <w:color w:val="000000" w:themeColor="text1"/>
          <w:sz w:val="22"/>
          <w:szCs w:val="22"/>
        </w:rPr>
        <w:t>hozzájárult az ingatlanok értékesítéséhez</w:t>
      </w:r>
      <w:r w:rsidR="005E4647">
        <w:rPr>
          <w:bCs/>
          <w:color w:val="000000" w:themeColor="text1"/>
          <w:sz w:val="22"/>
          <w:szCs w:val="22"/>
        </w:rPr>
        <w:t xml:space="preserve"> akképpen, hogy a</w:t>
      </w:r>
      <w:r w:rsidRPr="005C7CF5">
        <w:rPr>
          <w:bCs/>
          <w:color w:val="000000" w:themeColor="text1"/>
          <w:sz w:val="22"/>
          <w:szCs w:val="22"/>
        </w:rPr>
        <w:t xml:space="preserve">z előzményekre tekintettel az értékesítésből befolyt összeg előszerződésben meghatározott részére az </w:t>
      </w:r>
      <w:r w:rsidR="006D7376">
        <w:rPr>
          <w:bCs/>
          <w:color w:val="000000" w:themeColor="text1"/>
          <w:sz w:val="22"/>
          <w:szCs w:val="22"/>
        </w:rPr>
        <w:t xml:space="preserve">Auchan </w:t>
      </w:r>
      <w:r w:rsidRPr="005C7CF5">
        <w:rPr>
          <w:bCs/>
          <w:color w:val="000000" w:themeColor="text1"/>
          <w:sz w:val="22"/>
          <w:szCs w:val="22"/>
        </w:rPr>
        <w:t xml:space="preserve">jogosult, a fennmaradó (az előszerződés szerint az önkormányzat részére kifizetett és az aktuális értékesítés szerinti vételár különbözete) vételár lesz az önkormányzaté. </w:t>
      </w:r>
    </w:p>
    <w:p w14:paraId="134DF97A" w14:textId="77777777" w:rsidR="00E37266" w:rsidRDefault="00E37266" w:rsidP="00E04795">
      <w:pPr>
        <w:jc w:val="both"/>
        <w:rPr>
          <w:bCs/>
          <w:sz w:val="22"/>
          <w:szCs w:val="22"/>
        </w:rPr>
      </w:pPr>
    </w:p>
    <w:p w14:paraId="316883C1" w14:textId="0D645AC9" w:rsidR="00E04795" w:rsidRPr="00C05AF1" w:rsidRDefault="00E04795" w:rsidP="00E04795">
      <w:pPr>
        <w:jc w:val="both"/>
        <w:rPr>
          <w:bCs/>
          <w:sz w:val="22"/>
          <w:szCs w:val="22"/>
        </w:rPr>
      </w:pPr>
      <w:r w:rsidRPr="00C05AF1">
        <w:rPr>
          <w:sz w:val="22"/>
          <w:szCs w:val="22"/>
        </w:rPr>
        <w:t>A vagyonrendeletben foglaltak szerint pályázat kiírásáról kell dönteni.</w:t>
      </w:r>
    </w:p>
    <w:p w14:paraId="11935311" w14:textId="77777777" w:rsidR="00E04795" w:rsidRPr="00C05AF1" w:rsidRDefault="00E04795" w:rsidP="00E04795">
      <w:pPr>
        <w:jc w:val="both"/>
        <w:rPr>
          <w:bCs/>
          <w:sz w:val="22"/>
          <w:szCs w:val="22"/>
        </w:rPr>
      </w:pPr>
    </w:p>
    <w:p w14:paraId="5BE65F62" w14:textId="77777777" w:rsidR="004B02BA" w:rsidRPr="00C05AF1" w:rsidRDefault="00E04795" w:rsidP="00E04795">
      <w:pPr>
        <w:jc w:val="both"/>
        <w:rPr>
          <w:sz w:val="22"/>
          <w:szCs w:val="22"/>
        </w:rPr>
      </w:pPr>
      <w:r w:rsidRPr="00C05AF1">
        <w:rPr>
          <w:bCs/>
          <w:sz w:val="22"/>
          <w:szCs w:val="22"/>
        </w:rPr>
        <w:t>Kérem a T. Képviselő-testületet, hogy az előterjesztést megvitatni szíveskedjen.</w:t>
      </w:r>
    </w:p>
    <w:p w14:paraId="2FE612E3" w14:textId="77777777" w:rsidR="004B02BA" w:rsidRPr="00C05AF1" w:rsidRDefault="004B02BA" w:rsidP="004B02BA">
      <w:pPr>
        <w:jc w:val="both"/>
        <w:rPr>
          <w:sz w:val="22"/>
          <w:szCs w:val="22"/>
        </w:rPr>
      </w:pPr>
    </w:p>
    <w:p w14:paraId="286F519A" w14:textId="77777777" w:rsidR="004B02BA" w:rsidRPr="00C05AF1" w:rsidRDefault="004B02BA" w:rsidP="004B02BA">
      <w:pPr>
        <w:jc w:val="both"/>
        <w:rPr>
          <w:sz w:val="22"/>
          <w:szCs w:val="22"/>
        </w:rPr>
      </w:pPr>
    </w:p>
    <w:p w14:paraId="519A5131" w14:textId="77777777" w:rsidR="004B02BA" w:rsidRPr="00C05AF1" w:rsidRDefault="004B02BA" w:rsidP="004B02BA">
      <w:pPr>
        <w:jc w:val="both"/>
        <w:rPr>
          <w:sz w:val="22"/>
          <w:szCs w:val="22"/>
        </w:rPr>
      </w:pPr>
    </w:p>
    <w:p w14:paraId="2829B33F" w14:textId="77777777" w:rsidR="004B02BA" w:rsidRPr="00C05AF1" w:rsidRDefault="004B02BA" w:rsidP="004B02BA">
      <w:pPr>
        <w:jc w:val="both"/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4B02BA" w:rsidRPr="00C05AF1" w14:paraId="4E6A2910" w14:textId="77777777" w:rsidTr="00A746C5">
        <w:tc>
          <w:tcPr>
            <w:tcW w:w="4605" w:type="dxa"/>
          </w:tcPr>
          <w:p w14:paraId="62CE47AF" w14:textId="77777777" w:rsidR="004B02BA" w:rsidRPr="00C05AF1" w:rsidRDefault="004B02BA" w:rsidP="00A746C5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1EA0EF93" w14:textId="77777777" w:rsidR="004B02BA" w:rsidRPr="00C05AF1" w:rsidRDefault="004B02BA" w:rsidP="00A746C5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C05AF1">
              <w:rPr>
                <w:b/>
                <w:bCs/>
                <w:iCs/>
                <w:sz w:val="22"/>
                <w:szCs w:val="22"/>
              </w:rPr>
              <w:t>Dr. Szente Kálmán</w:t>
            </w:r>
          </w:p>
          <w:p w14:paraId="1F139C91" w14:textId="77777777" w:rsidR="004B02BA" w:rsidRPr="00C05AF1" w:rsidRDefault="004B02BA" w:rsidP="00A746C5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 w:rsidRPr="00C05AF1"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59B6221A" w14:textId="77777777" w:rsidR="004B02BA" w:rsidRPr="00C05AF1" w:rsidRDefault="004B02BA" w:rsidP="004B02BA">
      <w:pPr>
        <w:rPr>
          <w:rFonts w:eastAsia="MS Mincho"/>
          <w:b/>
          <w:bCs/>
          <w:sz w:val="22"/>
          <w:szCs w:val="22"/>
          <w:u w:val="single"/>
        </w:rPr>
      </w:pPr>
    </w:p>
    <w:p w14:paraId="3B4730BD" w14:textId="77777777" w:rsidR="004B02BA" w:rsidRPr="00C05AF1" w:rsidRDefault="004B02BA" w:rsidP="004B02BA">
      <w:pPr>
        <w:rPr>
          <w:rFonts w:eastAsia="MS Mincho"/>
          <w:b/>
          <w:bCs/>
          <w:sz w:val="22"/>
          <w:szCs w:val="22"/>
          <w:u w:val="single"/>
        </w:rPr>
      </w:pPr>
    </w:p>
    <w:p w14:paraId="35258EB7" w14:textId="77777777" w:rsidR="004B02BA" w:rsidRPr="00D00DD3" w:rsidRDefault="004B02BA" w:rsidP="004B02BA">
      <w:pPr>
        <w:rPr>
          <w:rFonts w:eastAsia="MS Mincho"/>
          <w:b/>
          <w:bCs/>
          <w:sz w:val="22"/>
          <w:szCs w:val="22"/>
          <w:u w:val="single"/>
        </w:rPr>
      </w:pPr>
    </w:p>
    <w:p w14:paraId="7CE0C3F7" w14:textId="77777777" w:rsidR="00E32BAB" w:rsidRPr="00D00DD3" w:rsidRDefault="00E32BAB" w:rsidP="00E32BAB">
      <w:pPr>
        <w:rPr>
          <w:b/>
          <w:sz w:val="22"/>
          <w:szCs w:val="22"/>
        </w:rPr>
      </w:pPr>
      <w:proofErr w:type="gramStart"/>
      <w:r w:rsidRPr="00D00DD3">
        <w:rPr>
          <w:rFonts w:eastAsia="MS Mincho"/>
          <w:b/>
          <w:bCs/>
          <w:sz w:val="22"/>
          <w:szCs w:val="22"/>
          <w:u w:val="single"/>
        </w:rPr>
        <w:t>HATÁROZATI  JAVASLAT</w:t>
      </w:r>
      <w:proofErr w:type="gramEnd"/>
      <w:r w:rsidRPr="00D00DD3">
        <w:rPr>
          <w:rFonts w:eastAsia="MS Mincho"/>
          <w:b/>
          <w:bCs/>
          <w:sz w:val="22"/>
          <w:szCs w:val="22"/>
          <w:u w:val="single"/>
        </w:rPr>
        <w:t xml:space="preserve">: </w:t>
      </w:r>
      <w:r w:rsidRPr="00D00DD3">
        <w:rPr>
          <w:sz w:val="22"/>
          <w:szCs w:val="22"/>
        </w:rPr>
        <w:t>…/2020-H  igen/ nem/ tartózkodott</w:t>
      </w:r>
      <w:r w:rsidRPr="00D00DD3">
        <w:rPr>
          <w:b/>
          <w:sz w:val="22"/>
          <w:szCs w:val="22"/>
        </w:rPr>
        <w:t xml:space="preserve"> </w:t>
      </w:r>
    </w:p>
    <w:p w14:paraId="55CAD17E" w14:textId="77777777" w:rsidR="00E32BAB" w:rsidRPr="00D00DD3" w:rsidRDefault="00E32BAB" w:rsidP="00E32BAB">
      <w:pPr>
        <w:jc w:val="both"/>
        <w:rPr>
          <w:sz w:val="22"/>
          <w:szCs w:val="22"/>
        </w:rPr>
      </w:pPr>
      <w:r w:rsidRPr="00D00DD3">
        <w:rPr>
          <w:bCs/>
          <w:iCs/>
          <w:sz w:val="22"/>
          <w:szCs w:val="22"/>
        </w:rPr>
        <w:t xml:space="preserve">Solymár Nagyközség Önkormányzatának Képviselő-testülete </w:t>
      </w:r>
      <w:r w:rsidRPr="00D00DD3">
        <w:rPr>
          <w:sz w:val="22"/>
          <w:szCs w:val="22"/>
        </w:rPr>
        <w:t>az önkormányzati tulajdonú</w:t>
      </w:r>
    </w:p>
    <w:p w14:paraId="60D3A4DD" w14:textId="77777777" w:rsidR="00E32BAB" w:rsidRPr="00D00DD3" w:rsidRDefault="00E32BAB" w:rsidP="00E32BAB">
      <w:pPr>
        <w:jc w:val="both"/>
        <w:rPr>
          <w:sz w:val="22"/>
          <w:szCs w:val="22"/>
        </w:rPr>
      </w:pPr>
    </w:p>
    <w:p w14:paraId="3268A72D" w14:textId="33A0F907" w:rsidR="00E32BAB" w:rsidRPr="00375B3B" w:rsidRDefault="00E32BAB" w:rsidP="00E32BAB">
      <w:pPr>
        <w:pStyle w:val="Listaszerbekezds"/>
        <w:numPr>
          <w:ilvl w:val="0"/>
          <w:numId w:val="1"/>
        </w:numPr>
        <w:suppressAutoHyphens w:val="0"/>
        <w:overflowPunct/>
        <w:autoSpaceDE/>
        <w:contextualSpacing w:val="0"/>
        <w:jc w:val="both"/>
        <w:rPr>
          <w:bCs/>
          <w:sz w:val="22"/>
          <w:szCs w:val="22"/>
        </w:rPr>
      </w:pPr>
      <w:r w:rsidRPr="00D00DD3">
        <w:rPr>
          <w:sz w:val="22"/>
          <w:szCs w:val="22"/>
        </w:rPr>
        <w:t>4071/1 hrsz. alatti, 2673 m</w:t>
      </w:r>
      <w:r w:rsidRPr="00D00DD3">
        <w:rPr>
          <w:sz w:val="22"/>
          <w:szCs w:val="22"/>
          <w:vertAlign w:val="superscript"/>
        </w:rPr>
        <w:t>2</w:t>
      </w:r>
      <w:r w:rsidRPr="00D00DD3">
        <w:rPr>
          <w:sz w:val="22"/>
          <w:szCs w:val="22"/>
        </w:rPr>
        <w:t xml:space="preserve"> területű, kivett beépítetlen megnevezésű ingatlant </w:t>
      </w:r>
      <w:r w:rsidR="00EF4E85" w:rsidRPr="00D00DD3">
        <w:rPr>
          <w:sz w:val="22"/>
          <w:szCs w:val="22"/>
        </w:rPr>
        <w:t>ne</w:t>
      </w:r>
      <w:r w:rsidRPr="00D00DD3">
        <w:rPr>
          <w:sz w:val="22"/>
          <w:szCs w:val="22"/>
        </w:rPr>
        <w:t>ttó …………….</w:t>
      </w:r>
      <w:r w:rsidRPr="00D00DD3">
        <w:rPr>
          <w:b/>
          <w:sz w:val="22"/>
          <w:szCs w:val="22"/>
        </w:rPr>
        <w:t xml:space="preserve"> </w:t>
      </w:r>
      <w:r w:rsidRPr="00375B3B">
        <w:rPr>
          <w:bCs/>
          <w:sz w:val="22"/>
          <w:szCs w:val="22"/>
        </w:rPr>
        <w:t xml:space="preserve">Ft </w:t>
      </w:r>
      <w:r w:rsidR="007B11A0" w:rsidRPr="00375B3B">
        <w:rPr>
          <w:bCs/>
          <w:sz w:val="22"/>
          <w:szCs w:val="22"/>
        </w:rPr>
        <w:t>+ ÁFA</w:t>
      </w:r>
      <w:r w:rsidR="00375B3B" w:rsidRPr="00375B3B">
        <w:rPr>
          <w:bCs/>
          <w:sz w:val="22"/>
          <w:szCs w:val="22"/>
        </w:rPr>
        <w:t>,</w:t>
      </w:r>
    </w:p>
    <w:p w14:paraId="73E22A9B" w14:textId="3263A440" w:rsidR="00E32BAB" w:rsidRPr="00375B3B" w:rsidRDefault="00E32BAB" w:rsidP="00E32BAB">
      <w:pPr>
        <w:pStyle w:val="Listaszerbekezds"/>
        <w:numPr>
          <w:ilvl w:val="0"/>
          <w:numId w:val="1"/>
        </w:numPr>
        <w:suppressAutoHyphens w:val="0"/>
        <w:overflowPunct/>
        <w:autoSpaceDE/>
        <w:contextualSpacing w:val="0"/>
        <w:jc w:val="both"/>
        <w:rPr>
          <w:bCs/>
          <w:sz w:val="22"/>
          <w:szCs w:val="22"/>
        </w:rPr>
      </w:pPr>
      <w:r w:rsidRPr="00375B3B">
        <w:rPr>
          <w:bCs/>
          <w:sz w:val="22"/>
          <w:szCs w:val="22"/>
        </w:rPr>
        <w:t>a 4071/3 hrsz. alatt felvett, 6140 m</w:t>
      </w:r>
      <w:r w:rsidRPr="00375B3B">
        <w:rPr>
          <w:bCs/>
          <w:sz w:val="22"/>
          <w:szCs w:val="22"/>
          <w:vertAlign w:val="superscript"/>
        </w:rPr>
        <w:t>2</w:t>
      </w:r>
      <w:r w:rsidRPr="00375B3B">
        <w:rPr>
          <w:bCs/>
          <w:sz w:val="22"/>
          <w:szCs w:val="22"/>
        </w:rPr>
        <w:t xml:space="preserve"> területű, kivett beépítetlen megnevezésű ingatlant </w:t>
      </w:r>
      <w:r w:rsidR="00EF4E85" w:rsidRPr="00375B3B">
        <w:rPr>
          <w:bCs/>
          <w:sz w:val="22"/>
          <w:szCs w:val="22"/>
        </w:rPr>
        <w:t>nettó</w:t>
      </w:r>
      <w:r w:rsidRPr="00375B3B">
        <w:rPr>
          <w:bCs/>
          <w:sz w:val="22"/>
          <w:szCs w:val="22"/>
        </w:rPr>
        <w:t xml:space="preserve"> …</w:t>
      </w:r>
      <w:proofErr w:type="gramStart"/>
      <w:r w:rsidRPr="00375B3B">
        <w:rPr>
          <w:bCs/>
          <w:sz w:val="22"/>
          <w:szCs w:val="22"/>
        </w:rPr>
        <w:t>…….</w:t>
      </w:r>
      <w:proofErr w:type="gramEnd"/>
      <w:r w:rsidRPr="00375B3B">
        <w:rPr>
          <w:bCs/>
          <w:sz w:val="22"/>
          <w:szCs w:val="22"/>
        </w:rPr>
        <w:t xml:space="preserve">. Ft </w:t>
      </w:r>
      <w:r w:rsidR="00375B3B" w:rsidRPr="00375B3B">
        <w:rPr>
          <w:bCs/>
          <w:sz w:val="22"/>
          <w:szCs w:val="22"/>
        </w:rPr>
        <w:t>+ ÁFA,</w:t>
      </w:r>
    </w:p>
    <w:p w14:paraId="46898487" w14:textId="0F906AF3" w:rsidR="00E32BAB" w:rsidRPr="00375B3B" w:rsidRDefault="00E32BAB" w:rsidP="00E32BAB">
      <w:pPr>
        <w:pStyle w:val="Listaszerbekezds"/>
        <w:numPr>
          <w:ilvl w:val="0"/>
          <w:numId w:val="1"/>
        </w:numPr>
        <w:suppressAutoHyphens w:val="0"/>
        <w:overflowPunct/>
        <w:autoSpaceDE/>
        <w:contextualSpacing w:val="0"/>
        <w:jc w:val="both"/>
        <w:rPr>
          <w:bCs/>
          <w:sz w:val="22"/>
          <w:szCs w:val="22"/>
        </w:rPr>
      </w:pPr>
      <w:r w:rsidRPr="00375B3B">
        <w:rPr>
          <w:bCs/>
          <w:sz w:val="22"/>
          <w:szCs w:val="22"/>
        </w:rPr>
        <w:t>a 4072/2 hrsz. alatt felvett, 2251 m</w:t>
      </w:r>
      <w:r w:rsidRPr="00375B3B">
        <w:rPr>
          <w:bCs/>
          <w:sz w:val="22"/>
          <w:szCs w:val="22"/>
          <w:vertAlign w:val="superscript"/>
        </w:rPr>
        <w:t>2</w:t>
      </w:r>
      <w:r w:rsidRPr="00375B3B">
        <w:rPr>
          <w:bCs/>
          <w:sz w:val="22"/>
          <w:szCs w:val="22"/>
        </w:rPr>
        <w:t xml:space="preserve"> területű, kivett beépítetlen megnevezésű ingatlant </w:t>
      </w:r>
      <w:r w:rsidR="00EF4E85" w:rsidRPr="00375B3B">
        <w:rPr>
          <w:bCs/>
          <w:sz w:val="22"/>
          <w:szCs w:val="22"/>
        </w:rPr>
        <w:t>nettó</w:t>
      </w:r>
      <w:r w:rsidRPr="00375B3B">
        <w:rPr>
          <w:bCs/>
          <w:sz w:val="22"/>
          <w:szCs w:val="22"/>
        </w:rPr>
        <w:t xml:space="preserve"> ……………. Ft</w:t>
      </w:r>
      <w:r w:rsidR="00375B3B" w:rsidRPr="00375B3B">
        <w:rPr>
          <w:bCs/>
          <w:sz w:val="22"/>
          <w:szCs w:val="22"/>
        </w:rPr>
        <w:t xml:space="preserve"> + ÁFA,</w:t>
      </w:r>
      <w:r w:rsidRPr="00375B3B">
        <w:rPr>
          <w:bCs/>
          <w:sz w:val="22"/>
          <w:szCs w:val="22"/>
        </w:rPr>
        <w:t xml:space="preserve"> valamint</w:t>
      </w:r>
    </w:p>
    <w:p w14:paraId="24AE1193" w14:textId="1B955EA0" w:rsidR="00E32BAB" w:rsidRPr="00D00DD3" w:rsidRDefault="00E32BAB" w:rsidP="00E32BAB">
      <w:pPr>
        <w:pStyle w:val="Listaszerbekezds"/>
        <w:numPr>
          <w:ilvl w:val="0"/>
          <w:numId w:val="1"/>
        </w:numPr>
        <w:suppressAutoHyphens w:val="0"/>
        <w:overflowPunct/>
        <w:autoSpaceDE/>
        <w:contextualSpacing w:val="0"/>
        <w:jc w:val="both"/>
        <w:rPr>
          <w:sz w:val="22"/>
          <w:szCs w:val="22"/>
        </w:rPr>
      </w:pPr>
      <w:r w:rsidRPr="00375B3B">
        <w:rPr>
          <w:bCs/>
          <w:sz w:val="22"/>
          <w:szCs w:val="22"/>
        </w:rPr>
        <w:t xml:space="preserve">a 4073 hrsz. alatt felvett, 9459 m2 területű, kivett beépítetlen megnevezésű ingatlan </w:t>
      </w:r>
      <w:r w:rsidR="00EF4E85" w:rsidRPr="00375B3B">
        <w:rPr>
          <w:bCs/>
          <w:sz w:val="22"/>
          <w:szCs w:val="22"/>
        </w:rPr>
        <w:t>ne</w:t>
      </w:r>
      <w:r w:rsidRPr="00375B3B">
        <w:rPr>
          <w:bCs/>
          <w:sz w:val="22"/>
          <w:szCs w:val="22"/>
        </w:rPr>
        <w:t>ttó ………………. Ft</w:t>
      </w:r>
      <w:r w:rsidR="00375B3B" w:rsidRPr="00375B3B">
        <w:rPr>
          <w:bCs/>
          <w:sz w:val="22"/>
          <w:szCs w:val="22"/>
        </w:rPr>
        <w:t xml:space="preserve"> + ÁFA</w:t>
      </w:r>
      <w:r w:rsidRPr="00375B3B">
        <w:rPr>
          <w:bCs/>
          <w:sz w:val="22"/>
          <w:szCs w:val="22"/>
        </w:rPr>
        <w:t xml:space="preserve"> kikiáltási</w:t>
      </w:r>
      <w:r w:rsidRPr="00D00DD3">
        <w:rPr>
          <w:sz w:val="22"/>
          <w:szCs w:val="22"/>
        </w:rPr>
        <w:t xml:space="preserve"> áron értékesítésre felajánlja. </w:t>
      </w:r>
    </w:p>
    <w:p w14:paraId="44E508C6" w14:textId="77777777" w:rsidR="00E32BAB" w:rsidRPr="00D00DD3" w:rsidRDefault="00E32BAB" w:rsidP="00E32BAB">
      <w:pPr>
        <w:jc w:val="both"/>
        <w:rPr>
          <w:sz w:val="22"/>
          <w:szCs w:val="22"/>
        </w:rPr>
      </w:pPr>
      <w:bookmarkStart w:id="0" w:name="_GoBack"/>
      <w:bookmarkEnd w:id="0"/>
    </w:p>
    <w:p w14:paraId="218E5BA3" w14:textId="0D7A6833" w:rsidR="00E32BAB" w:rsidRPr="00D00DD3" w:rsidRDefault="00E32BAB" w:rsidP="00E32BAB">
      <w:pPr>
        <w:jc w:val="both"/>
        <w:rPr>
          <w:bCs/>
          <w:color w:val="000000" w:themeColor="text1"/>
          <w:sz w:val="22"/>
          <w:szCs w:val="22"/>
        </w:rPr>
      </w:pPr>
      <w:r w:rsidRPr="00D00DD3">
        <w:rPr>
          <w:sz w:val="22"/>
          <w:szCs w:val="22"/>
        </w:rPr>
        <w:t>A képviselő-testület felhatalmazza a polgármestert, hogy az ingatlanok értékesítésére vonatkozó pályázatot a vagyonrendeletben foglaltaknak megfelelően írja ki</w:t>
      </w:r>
      <w:r w:rsidR="00AD16C7" w:rsidRPr="00D00DD3">
        <w:rPr>
          <w:sz w:val="22"/>
          <w:szCs w:val="22"/>
        </w:rPr>
        <w:t xml:space="preserve">, </w:t>
      </w:r>
      <w:r w:rsidR="00AD16C7" w:rsidRPr="00D00DD3">
        <w:rPr>
          <w:bCs/>
          <w:sz w:val="22"/>
          <w:szCs w:val="22"/>
        </w:rPr>
        <w:t>valamint az adásvételi szerződés</w:t>
      </w:r>
      <w:r w:rsidR="005E4647" w:rsidRPr="00D00DD3">
        <w:rPr>
          <w:bCs/>
          <w:sz w:val="22"/>
          <w:szCs w:val="22"/>
        </w:rPr>
        <w:t>eke</w:t>
      </w:r>
      <w:r w:rsidR="002E02F1" w:rsidRPr="00D00DD3">
        <w:rPr>
          <w:bCs/>
          <w:sz w:val="22"/>
          <w:szCs w:val="22"/>
        </w:rPr>
        <w:t xml:space="preserve">t </w:t>
      </w:r>
      <w:r w:rsidR="005E4647" w:rsidRPr="00D00DD3">
        <w:rPr>
          <w:bCs/>
          <w:sz w:val="22"/>
          <w:szCs w:val="22"/>
        </w:rPr>
        <w:t xml:space="preserve">a győztes pályázóval </w:t>
      </w:r>
      <w:r w:rsidR="002E02F1" w:rsidRPr="00D00DD3">
        <w:rPr>
          <w:bCs/>
          <w:sz w:val="22"/>
          <w:szCs w:val="22"/>
        </w:rPr>
        <w:t>írja alá</w:t>
      </w:r>
      <w:r w:rsidR="006D7376" w:rsidRPr="00D00DD3">
        <w:rPr>
          <w:bCs/>
          <w:sz w:val="22"/>
          <w:szCs w:val="22"/>
        </w:rPr>
        <w:t>.</w:t>
      </w:r>
      <w:r w:rsidRPr="00D00DD3">
        <w:rPr>
          <w:sz w:val="22"/>
          <w:szCs w:val="22"/>
        </w:rPr>
        <w:t xml:space="preserve"> Az ingatlanok eladásából befolyó vételár</w:t>
      </w:r>
      <w:r w:rsidR="002E02F1" w:rsidRPr="00D00DD3">
        <w:rPr>
          <w:sz w:val="22"/>
          <w:szCs w:val="22"/>
        </w:rPr>
        <w:t xml:space="preserve"> önkormányzatot illető </w:t>
      </w:r>
      <w:r w:rsidR="002E02F1" w:rsidRPr="00D00DD3">
        <w:rPr>
          <w:color w:val="000000" w:themeColor="text1"/>
          <w:sz w:val="22"/>
          <w:szCs w:val="22"/>
        </w:rPr>
        <w:t xml:space="preserve">részét </w:t>
      </w:r>
      <w:r w:rsidRPr="00D00DD3">
        <w:rPr>
          <w:color w:val="000000" w:themeColor="text1"/>
          <w:sz w:val="22"/>
          <w:szCs w:val="22"/>
        </w:rPr>
        <w:t>a Solymár</w:t>
      </w:r>
      <w:r w:rsidR="00AD16C7" w:rsidRPr="00D00DD3">
        <w:rPr>
          <w:color w:val="000000" w:themeColor="text1"/>
          <w:sz w:val="22"/>
          <w:szCs w:val="22"/>
        </w:rPr>
        <w:t>i Telepüzemeltetési Kft.</w:t>
      </w:r>
      <w:r w:rsidRPr="00D00DD3">
        <w:rPr>
          <w:color w:val="000000" w:themeColor="text1"/>
          <w:sz w:val="22"/>
          <w:szCs w:val="22"/>
        </w:rPr>
        <w:t xml:space="preserve"> </w:t>
      </w:r>
      <w:r w:rsidR="00AD16C7" w:rsidRPr="00D00DD3">
        <w:rPr>
          <w:color w:val="000000" w:themeColor="text1"/>
          <w:sz w:val="22"/>
          <w:szCs w:val="22"/>
        </w:rPr>
        <w:t>telephelyének megépítésére</w:t>
      </w:r>
      <w:r w:rsidRPr="00D00DD3">
        <w:rPr>
          <w:color w:val="000000" w:themeColor="text1"/>
          <w:sz w:val="22"/>
          <w:szCs w:val="22"/>
        </w:rPr>
        <w:t xml:space="preserve"> k</w:t>
      </w:r>
      <w:r w:rsidR="00753155" w:rsidRPr="00D00DD3">
        <w:rPr>
          <w:color w:val="000000" w:themeColor="text1"/>
          <w:sz w:val="22"/>
          <w:szCs w:val="22"/>
        </w:rPr>
        <w:t xml:space="preserve">ell </w:t>
      </w:r>
      <w:r w:rsidRPr="00D00DD3">
        <w:rPr>
          <w:color w:val="000000" w:themeColor="text1"/>
          <w:sz w:val="22"/>
          <w:szCs w:val="22"/>
        </w:rPr>
        <w:t>fordítani.</w:t>
      </w:r>
    </w:p>
    <w:p w14:paraId="6D5E4F88" w14:textId="77777777" w:rsidR="00E32BAB" w:rsidRPr="00D00DD3" w:rsidRDefault="00E32BAB" w:rsidP="00E32BAB">
      <w:pPr>
        <w:jc w:val="both"/>
        <w:rPr>
          <w:bCs/>
          <w:sz w:val="22"/>
          <w:szCs w:val="22"/>
        </w:rPr>
      </w:pPr>
    </w:p>
    <w:p w14:paraId="561E1402" w14:textId="77777777" w:rsidR="00E32BAB" w:rsidRPr="00D00DD3" w:rsidRDefault="00E32BAB" w:rsidP="00E32BAB">
      <w:pPr>
        <w:rPr>
          <w:sz w:val="22"/>
          <w:szCs w:val="22"/>
        </w:rPr>
      </w:pPr>
      <w:r w:rsidRPr="00D00DD3">
        <w:rPr>
          <w:b/>
          <w:bCs/>
          <w:sz w:val="22"/>
          <w:szCs w:val="22"/>
          <w:u w:val="single"/>
        </w:rPr>
        <w:t>Felelős</w:t>
      </w:r>
      <w:r w:rsidRPr="00D00DD3">
        <w:rPr>
          <w:sz w:val="22"/>
          <w:szCs w:val="22"/>
        </w:rPr>
        <w:t>: polgármester</w:t>
      </w:r>
    </w:p>
    <w:p w14:paraId="5AF27774" w14:textId="77777777" w:rsidR="00E32BAB" w:rsidRPr="00D00DD3" w:rsidRDefault="00E32BAB" w:rsidP="00E32BAB">
      <w:pPr>
        <w:rPr>
          <w:sz w:val="22"/>
          <w:szCs w:val="22"/>
        </w:rPr>
      </w:pPr>
      <w:r w:rsidRPr="00D00DD3">
        <w:rPr>
          <w:b/>
          <w:bCs/>
          <w:sz w:val="22"/>
          <w:szCs w:val="22"/>
          <w:u w:val="single"/>
        </w:rPr>
        <w:t>Határidő</w:t>
      </w:r>
      <w:r w:rsidRPr="00D00DD3">
        <w:rPr>
          <w:b/>
          <w:bCs/>
          <w:sz w:val="22"/>
          <w:szCs w:val="22"/>
        </w:rPr>
        <w:t>:</w:t>
      </w:r>
      <w:r w:rsidRPr="00D00DD3">
        <w:rPr>
          <w:sz w:val="22"/>
          <w:szCs w:val="22"/>
        </w:rPr>
        <w:t xml:space="preserve"> rendeletben foglaltak szerint</w:t>
      </w:r>
    </w:p>
    <w:p w14:paraId="22DD781B" w14:textId="77777777" w:rsidR="00E32BAB" w:rsidRPr="00D00DD3" w:rsidRDefault="00E32BAB" w:rsidP="00E32BAB">
      <w:pPr>
        <w:rPr>
          <w:sz w:val="22"/>
          <w:szCs w:val="22"/>
        </w:rPr>
      </w:pPr>
    </w:p>
    <w:p w14:paraId="25556AEB" w14:textId="77777777" w:rsidR="004B7786" w:rsidRPr="00D00DD3" w:rsidRDefault="004B7786" w:rsidP="00E32BAB">
      <w:pPr>
        <w:rPr>
          <w:sz w:val="22"/>
          <w:szCs w:val="22"/>
        </w:rPr>
      </w:pPr>
    </w:p>
    <w:sectPr w:rsidR="004B7786" w:rsidRPr="00D00DD3" w:rsidSect="00A746C5"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27C5"/>
    <w:multiLevelType w:val="hybridMultilevel"/>
    <w:tmpl w:val="E850059A"/>
    <w:lvl w:ilvl="0" w:tplc="9514CDD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2BA"/>
    <w:rsid w:val="00143EEB"/>
    <w:rsid w:val="0018108E"/>
    <w:rsid w:val="002E02F1"/>
    <w:rsid w:val="00375B3B"/>
    <w:rsid w:val="004577DC"/>
    <w:rsid w:val="004B02BA"/>
    <w:rsid w:val="004B7786"/>
    <w:rsid w:val="005C7CF5"/>
    <w:rsid w:val="005E4647"/>
    <w:rsid w:val="006D7376"/>
    <w:rsid w:val="00753155"/>
    <w:rsid w:val="007556C0"/>
    <w:rsid w:val="007B11A0"/>
    <w:rsid w:val="00834716"/>
    <w:rsid w:val="009C6CBC"/>
    <w:rsid w:val="00A746C5"/>
    <w:rsid w:val="00AD16C7"/>
    <w:rsid w:val="00C05AF1"/>
    <w:rsid w:val="00D00DD3"/>
    <w:rsid w:val="00D72FC8"/>
    <w:rsid w:val="00E04795"/>
    <w:rsid w:val="00E32BAB"/>
    <w:rsid w:val="00E37266"/>
    <w:rsid w:val="00E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66B7"/>
  <w15:docId w15:val="{F0A6E163-3933-4D62-B2D6-8E99AE5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02BA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4B02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nhideWhenUsed/>
    <w:qFormat/>
    <w:rsid w:val="004B02BA"/>
    <w:pPr>
      <w:spacing w:after="200"/>
    </w:pPr>
    <w:rPr>
      <w:i/>
      <w:iCs/>
      <w:color w:val="1F497D" w:themeColor="text2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02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02BA"/>
    <w:rPr>
      <w:rFonts w:ascii="Tahoma" w:eastAsia="Times New Roman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E32BAB"/>
    <w:pPr>
      <w:ind w:left="720"/>
      <w:contextualSpacing/>
    </w:pPr>
  </w:style>
  <w:style w:type="paragraph" w:styleId="Vltozat">
    <w:name w:val="Revision"/>
    <w:hidden/>
    <w:uiPriority w:val="99"/>
    <w:semiHidden/>
    <w:rsid w:val="005C7C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448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toldi.timea</dc:creator>
  <cp:lastModifiedBy>Vagyon</cp:lastModifiedBy>
  <cp:revision>15</cp:revision>
  <dcterms:created xsi:type="dcterms:W3CDTF">2020-02-11T13:34:00Z</dcterms:created>
  <dcterms:modified xsi:type="dcterms:W3CDTF">2020-02-27T08:45:00Z</dcterms:modified>
</cp:coreProperties>
</file>